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07" w:rsidRDefault="007A6007" w:rsidP="007A6007">
      <w:pPr>
        <w:jc w:val="right"/>
        <w:rPr>
          <w:b/>
          <w:sz w:val="36"/>
        </w:rPr>
      </w:pPr>
      <w:r>
        <w:rPr>
          <w:noProof/>
          <w:lang w:eastAsia="en-GB"/>
        </w:rPr>
        <w:drawing>
          <wp:inline distT="0" distB="0" distL="0" distR="0" wp14:anchorId="19CCA119" wp14:editId="5A4CF2DA">
            <wp:extent cx="942975" cy="1257300"/>
            <wp:effectExtent l="0" t="0" r="9525" b="0"/>
            <wp:docPr id="2" name="Picture 2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7" w:rsidRPr="007A6007" w:rsidRDefault="007A6007" w:rsidP="00652D37">
      <w:pPr>
        <w:jc w:val="center"/>
        <w:rPr>
          <w:b/>
          <w:sz w:val="36"/>
        </w:rPr>
      </w:pPr>
      <w:r w:rsidRPr="007A6007">
        <w:rPr>
          <w:b/>
          <w:sz w:val="36"/>
        </w:rPr>
        <w:t>SCRUTINY WORK PLAN</w:t>
      </w:r>
    </w:p>
    <w:p w:rsidR="007A6007" w:rsidRPr="007A6007" w:rsidRDefault="00C11EA1" w:rsidP="00652D37">
      <w:pPr>
        <w:jc w:val="center"/>
        <w:rPr>
          <w:b/>
          <w:sz w:val="28"/>
        </w:rPr>
      </w:pPr>
      <w:r>
        <w:rPr>
          <w:b/>
          <w:sz w:val="28"/>
        </w:rPr>
        <w:t>May</w:t>
      </w:r>
      <w:r w:rsidR="00396126">
        <w:rPr>
          <w:b/>
          <w:sz w:val="28"/>
        </w:rPr>
        <w:t xml:space="preserve"> 2016 – Ju</w:t>
      </w:r>
      <w:r>
        <w:rPr>
          <w:b/>
          <w:sz w:val="28"/>
        </w:rPr>
        <w:t>ly</w:t>
      </w:r>
      <w:r w:rsidR="007A6007" w:rsidRPr="007A6007">
        <w:rPr>
          <w:b/>
          <w:sz w:val="28"/>
        </w:rPr>
        <w:t xml:space="preserve"> 2016</w:t>
      </w:r>
    </w:p>
    <w:p w:rsidR="007A6007" w:rsidRPr="005C6C2E" w:rsidRDefault="007A6007" w:rsidP="00652D37">
      <w:pPr>
        <w:jc w:val="center"/>
        <w:rPr>
          <w:b/>
        </w:rPr>
      </w:pPr>
    </w:p>
    <w:p w:rsidR="007A6007" w:rsidRPr="007A6007" w:rsidRDefault="00D00A31" w:rsidP="00652D37">
      <w:pPr>
        <w:jc w:val="center"/>
        <w:rPr>
          <w:b/>
          <w:sz w:val="28"/>
        </w:rPr>
      </w:pPr>
      <w:r>
        <w:rPr>
          <w:b/>
          <w:sz w:val="28"/>
        </w:rPr>
        <w:t xml:space="preserve">Published on: </w:t>
      </w:r>
      <w:r w:rsidR="00941591">
        <w:rPr>
          <w:b/>
          <w:sz w:val="28"/>
        </w:rPr>
        <w:t>27</w:t>
      </w:r>
      <w:bookmarkStart w:id="0" w:name="_GoBack"/>
      <w:bookmarkEnd w:id="0"/>
      <w:r w:rsidR="00C11EA1">
        <w:rPr>
          <w:b/>
          <w:sz w:val="28"/>
        </w:rPr>
        <w:t>/5</w:t>
      </w:r>
      <w:r w:rsidR="007A6007">
        <w:rPr>
          <w:b/>
          <w:sz w:val="28"/>
        </w:rPr>
        <w:t>/16</w:t>
      </w:r>
    </w:p>
    <w:p w:rsidR="00BD17B6" w:rsidRPr="005C6C2E" w:rsidRDefault="00BD17B6" w:rsidP="000B1D18">
      <w:pPr>
        <w:rPr>
          <w:b/>
        </w:rPr>
      </w:pPr>
    </w:p>
    <w:p w:rsidR="000F641B" w:rsidRDefault="008B0D44" w:rsidP="008E46BC">
      <w:r>
        <w:t xml:space="preserve">The Scrutiny Committee </w:t>
      </w:r>
      <w:r w:rsidR="00694A9B">
        <w:t xml:space="preserve">agrees a </w:t>
      </w:r>
      <w:r>
        <w:t>work p</w:t>
      </w:r>
      <w:r w:rsidR="00F206BC">
        <w:t>lan</w:t>
      </w:r>
      <w:r w:rsidR="00A2113A">
        <w:t xml:space="preserve"> </w:t>
      </w:r>
      <w:r w:rsidR="007A6007" w:rsidRPr="007A6007">
        <w:t xml:space="preserve">every year </w:t>
      </w:r>
      <w:r w:rsidR="00694A9B" w:rsidRPr="00694A9B">
        <w:t xml:space="preserve">detailing </w:t>
      </w:r>
      <w:r w:rsidR="00A138BE">
        <w:t xml:space="preserve">selected issues </w:t>
      </w:r>
      <w:r w:rsidR="00F206BC">
        <w:t>that affect Oxford or its inhabitants</w:t>
      </w:r>
      <w:r w:rsidR="00A138BE">
        <w:t>.</w:t>
      </w:r>
      <w:r w:rsidR="00694A9B" w:rsidRPr="00694A9B">
        <w:t xml:space="preserve">  Time is allowed within this p</w:t>
      </w:r>
      <w:r w:rsidR="00A138BE">
        <w:t>lan</w:t>
      </w:r>
      <w:r w:rsidR="00694A9B" w:rsidRPr="00694A9B">
        <w:t xml:space="preserve"> to consider topical issues as they arise throughout the year</w:t>
      </w:r>
      <w:r w:rsidR="004B4C42">
        <w:t xml:space="preserve"> </w:t>
      </w:r>
      <w:r w:rsidR="007A6007">
        <w:t>as well as</w:t>
      </w:r>
      <w:r w:rsidR="004B4C42">
        <w:t xml:space="preserve"> decisions to be taken by the City Executive Board</w:t>
      </w:r>
      <w:r w:rsidR="00694A9B" w:rsidRPr="00694A9B">
        <w:t xml:space="preserve">.  This document represents the work </w:t>
      </w:r>
      <w:r w:rsidR="004B4C42">
        <w:t xml:space="preserve">of scrutiny </w:t>
      </w:r>
      <w:r w:rsidR="00694A9B" w:rsidRPr="00694A9B">
        <w:t>for</w:t>
      </w:r>
      <w:r w:rsidR="00694A9B" w:rsidRPr="008C3294">
        <w:t xml:space="preserve"> </w:t>
      </w:r>
      <w:r w:rsidR="008C3294" w:rsidRPr="008C3294">
        <w:t xml:space="preserve">the remainder of the </w:t>
      </w:r>
      <w:r w:rsidR="00694A9B" w:rsidRPr="00694A9B">
        <w:t xml:space="preserve">2016/17 </w:t>
      </w:r>
      <w:r w:rsidR="000D2BDE">
        <w:t xml:space="preserve">Council year </w:t>
      </w:r>
      <w:r w:rsidR="00694A9B" w:rsidRPr="00694A9B">
        <w:t xml:space="preserve">and will be reviewed monthly by the Scrutiny Committee.  </w:t>
      </w:r>
    </w:p>
    <w:p w:rsidR="00694A9B" w:rsidRDefault="00694A9B" w:rsidP="008E46BC"/>
    <w:p w:rsidR="008E46BC" w:rsidRPr="00FD6EAE" w:rsidRDefault="000F641B" w:rsidP="008E46BC">
      <w:r>
        <w:t xml:space="preserve">The </w:t>
      </w:r>
      <w:r w:rsidR="005A41A3">
        <w:t>w</w:t>
      </w:r>
      <w:r>
        <w:t xml:space="preserve">ork </w:t>
      </w:r>
      <w:r w:rsidR="005A41A3">
        <w:t>p</w:t>
      </w:r>
      <w:r w:rsidR="00F206BC">
        <w:t>lan</w:t>
      </w:r>
      <w:r w:rsidR="008B0D44">
        <w:t xml:space="preserve"> is based on</w:t>
      </w:r>
      <w:r w:rsidR="007B2C63">
        <w:t xml:space="preserve"> suggestions received from</w:t>
      </w:r>
      <w:r w:rsidR="008B0D44">
        <w:t xml:space="preserve"> all </w:t>
      </w:r>
      <w:r>
        <w:t xml:space="preserve">elected </w:t>
      </w:r>
      <w:r w:rsidR="008B0D44">
        <w:t>members</w:t>
      </w:r>
      <w:r>
        <w:t xml:space="preserve"> and </w:t>
      </w:r>
      <w:r w:rsidR="008B0D44">
        <w:t xml:space="preserve">senior council officers.  Members of the public can </w:t>
      </w:r>
      <w:r w:rsidR="007A6007">
        <w:t xml:space="preserve">also </w:t>
      </w:r>
      <w:r w:rsidR="008B0D44">
        <w:t xml:space="preserve">contribute </w:t>
      </w:r>
      <w:r w:rsidR="008B0D44" w:rsidRPr="008B0D44">
        <w:t>topic</w:t>
      </w:r>
      <w:r w:rsidR="008B0D44">
        <w:t>s</w:t>
      </w:r>
      <w:r w:rsidR="00F206BC">
        <w:t xml:space="preserve"> for inclusion in the s</w:t>
      </w:r>
      <w:r w:rsidR="008B0D44" w:rsidRPr="008B0D44">
        <w:t xml:space="preserve">crutiny </w:t>
      </w:r>
      <w:r w:rsidR="00F206BC">
        <w:t>work plan</w:t>
      </w:r>
      <w:r w:rsidR="008B0D44" w:rsidRPr="008B0D44">
        <w:t xml:space="preserve"> by completing and submitting our </w:t>
      </w:r>
      <w:hyperlink r:id="rId10" w:history="1">
        <w:r w:rsidR="00F206BC">
          <w:rPr>
            <w:rStyle w:val="Hyperlink"/>
          </w:rPr>
          <w:t>suggestion form</w:t>
        </w:r>
      </w:hyperlink>
      <w:r w:rsidR="00694A9B">
        <w:t xml:space="preserve">.  </w:t>
      </w:r>
    </w:p>
    <w:p w:rsidR="008E46BC" w:rsidRPr="00FD6EAE" w:rsidRDefault="008E46BC" w:rsidP="008E46BC"/>
    <w:p w:rsidR="008E46BC" w:rsidRPr="008B0D44" w:rsidRDefault="008B0D44" w:rsidP="00E61909">
      <w:r>
        <w:t xml:space="preserve">The following criteria </w:t>
      </w:r>
      <w:r w:rsidR="000D2BDE">
        <w:t>may</w:t>
      </w:r>
      <w:r w:rsidR="007B2C63">
        <w:t xml:space="preserve"> </w:t>
      </w:r>
      <w:r>
        <w:t xml:space="preserve">be used by the Scrutiny Committee to </w:t>
      </w:r>
      <w:r w:rsidR="00235B17">
        <w:t>evaluate</w:t>
      </w:r>
      <w:r>
        <w:t xml:space="preserve"> and prioritis</w:t>
      </w:r>
      <w:r w:rsidR="00235B17">
        <w:t>e</w:t>
      </w:r>
      <w:r w:rsidR="000F641B">
        <w:t xml:space="preserve"> </w:t>
      </w:r>
      <w:r w:rsidR="00235B17">
        <w:t>suggested</w:t>
      </w:r>
      <w:r w:rsidR="000F641B">
        <w:t xml:space="preserve"> topic</w:t>
      </w:r>
      <w:r w:rsidR="00235B17">
        <w:t>s</w:t>
      </w:r>
      <w:r w:rsidR="000F641B">
        <w:t>:</w:t>
      </w:r>
    </w:p>
    <w:p w:rsidR="008B0D44" w:rsidRPr="008B0D44" w:rsidRDefault="008B0D44" w:rsidP="00A82DC9">
      <w:pPr>
        <w:numPr>
          <w:ilvl w:val="0"/>
          <w:numId w:val="1"/>
        </w:numPr>
        <w:rPr>
          <w:i/>
        </w:rPr>
      </w:pPr>
      <w:r w:rsidRPr="008B0D44">
        <w:rPr>
          <w:i/>
        </w:rPr>
        <w:t>Is the issue controversial / of significant public interest?</w:t>
      </w:r>
    </w:p>
    <w:p w:rsidR="008B0D44" w:rsidRPr="008B0D44" w:rsidRDefault="008B0D44" w:rsidP="00A82DC9">
      <w:pPr>
        <w:numPr>
          <w:ilvl w:val="0"/>
          <w:numId w:val="1"/>
        </w:numPr>
        <w:rPr>
          <w:i/>
        </w:rPr>
      </w:pPr>
      <w:r w:rsidRPr="008B0D44">
        <w:rPr>
          <w:i/>
        </w:rPr>
        <w:t>Is it an area of high expenditure?</w:t>
      </w:r>
    </w:p>
    <w:p w:rsidR="008B0D44" w:rsidRPr="008B0D44" w:rsidRDefault="008B0D44" w:rsidP="00A82DC9">
      <w:pPr>
        <w:numPr>
          <w:ilvl w:val="0"/>
          <w:numId w:val="1"/>
        </w:numPr>
        <w:rPr>
          <w:i/>
        </w:rPr>
      </w:pPr>
      <w:r w:rsidRPr="008B0D44">
        <w:rPr>
          <w:i/>
        </w:rPr>
        <w:t>Is it an essential service / corporate priority?</w:t>
      </w:r>
    </w:p>
    <w:p w:rsidR="008B0D44" w:rsidRPr="008B0D44" w:rsidRDefault="008B0D44" w:rsidP="00A82DC9">
      <w:pPr>
        <w:numPr>
          <w:ilvl w:val="0"/>
          <w:numId w:val="1"/>
        </w:numPr>
        <w:rPr>
          <w:i/>
        </w:rPr>
      </w:pPr>
      <w:r w:rsidRPr="008B0D44">
        <w:rPr>
          <w:i/>
        </w:rPr>
        <w:t>Can Scrutiny influence and add value?</w:t>
      </w:r>
    </w:p>
    <w:p w:rsidR="008B0D44" w:rsidRDefault="008B0D44" w:rsidP="00E61909">
      <w:pPr>
        <w:rPr>
          <w:b/>
        </w:rPr>
      </w:pPr>
    </w:p>
    <w:p w:rsidR="005A41A3" w:rsidRDefault="005A41A3" w:rsidP="00E61909">
      <w:pPr>
        <w:rPr>
          <w:b/>
        </w:rPr>
      </w:pPr>
      <w:r>
        <w:t xml:space="preserve">Some topics </w:t>
      </w:r>
      <w:r w:rsidR="007B2C63">
        <w:t>will be</w:t>
      </w:r>
      <w:r>
        <w:t xml:space="preserve"> </w:t>
      </w:r>
      <w:r w:rsidR="00F206BC">
        <w:t xml:space="preserve">considered </w:t>
      </w:r>
      <w:r w:rsidR="00235B17">
        <w:t xml:space="preserve">at Scrutiny Committee meetings and others will be </w:t>
      </w:r>
      <w:r>
        <w:t>delegated to</w:t>
      </w:r>
      <w:r w:rsidR="00EB390B">
        <w:t xml:space="preserve"> two</w:t>
      </w:r>
      <w:r w:rsidR="00F206BC">
        <w:t xml:space="preserve"> standing panels.  Items for more detailed review will be considered by time-limited </w:t>
      </w:r>
      <w:r>
        <w:t>review groups</w:t>
      </w:r>
      <w:r w:rsidR="00F206BC">
        <w:t>.</w:t>
      </w:r>
    </w:p>
    <w:p w:rsidR="005A41A3" w:rsidRDefault="005A41A3" w:rsidP="00E61909">
      <w:pPr>
        <w:rPr>
          <w:b/>
        </w:rPr>
      </w:pPr>
    </w:p>
    <w:p w:rsidR="007A6007" w:rsidRDefault="008C5344" w:rsidP="00E61909">
      <w:pPr>
        <w:sectPr w:rsidR="007A6007" w:rsidSect="000E6526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>
        <w:t>The Committee</w:t>
      </w:r>
      <w:r w:rsidR="005A41A3">
        <w:t xml:space="preserve"> will</w:t>
      </w:r>
      <w:r>
        <w:t xml:space="preserve"> review the Council’s </w:t>
      </w:r>
      <w:hyperlink r:id="rId11" w:history="1">
        <w:r w:rsidRPr="00F206BC">
          <w:rPr>
            <w:rStyle w:val="Hyperlink"/>
          </w:rPr>
          <w:t>Forward Plan</w:t>
        </w:r>
      </w:hyperlink>
      <w:r>
        <w:t xml:space="preserve"> at each meeting </w:t>
      </w:r>
      <w:r w:rsidR="007B2C63">
        <w:t xml:space="preserve">and </w:t>
      </w:r>
      <w:r>
        <w:t xml:space="preserve">decide which executive decisions </w:t>
      </w:r>
      <w:r w:rsidR="004B4C42">
        <w:t>it wishes to comment on before the decision is made.  The Council also has a “call in” process which allows decisions made by the City Executive Board to be reviewed by the Scrutiny Committee before they are implemented.</w:t>
      </w:r>
      <w:r w:rsidR="007A6007">
        <w:t xml:space="preserve"> </w:t>
      </w:r>
    </w:p>
    <w:p w:rsidR="00235B17" w:rsidRDefault="00B65AE5" w:rsidP="007A6007">
      <w:pPr>
        <w:pStyle w:val="ListParagraph"/>
        <w:ind w:left="0"/>
        <w:rPr>
          <w:b/>
        </w:rPr>
      </w:pPr>
      <w:r>
        <w:rPr>
          <w:b/>
        </w:rPr>
        <w:lastRenderedPageBreak/>
        <w:t>Scrutiny Committee</w:t>
      </w:r>
      <w:r w:rsidR="008C3294">
        <w:rPr>
          <w:b/>
        </w:rPr>
        <w:t xml:space="preserve"> and Standing Panel</w:t>
      </w:r>
      <w:r>
        <w:rPr>
          <w:b/>
        </w:rPr>
        <w:t xml:space="preserve"> </w:t>
      </w:r>
      <w:r w:rsidR="00694A9B">
        <w:rPr>
          <w:b/>
        </w:rPr>
        <w:t xml:space="preserve">responsibility and </w:t>
      </w:r>
      <w:r>
        <w:rPr>
          <w:b/>
        </w:rPr>
        <w:t>membership</w:t>
      </w:r>
    </w:p>
    <w:p w:rsidR="00235B17" w:rsidRDefault="00235B17" w:rsidP="00235B17">
      <w:pPr>
        <w:pStyle w:val="ListParagraph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095"/>
        <w:gridCol w:w="5953"/>
      </w:tblGrid>
      <w:tr w:rsidR="00437714" w:rsidRPr="00FD6EAE" w:rsidTr="000E6526">
        <w:trPr>
          <w:trHeight w:val="7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14" w:rsidRPr="00FD6EAE" w:rsidRDefault="00437714" w:rsidP="002A0459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FD6EAE" w:rsidRDefault="00437714" w:rsidP="002A0459">
            <w:pPr>
              <w:rPr>
                <w:b/>
              </w:rPr>
            </w:pPr>
            <w:r>
              <w:rPr>
                <w:b/>
              </w:rPr>
              <w:t>Remit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14" w:rsidRPr="00FD6EAE" w:rsidRDefault="003C626C" w:rsidP="003C626C">
            <w:pPr>
              <w:rPr>
                <w:b/>
              </w:rPr>
            </w:pPr>
            <w:r>
              <w:rPr>
                <w:b/>
              </w:rPr>
              <w:t>Nominated councillors</w:t>
            </w:r>
          </w:p>
        </w:tc>
      </w:tr>
      <w:tr w:rsidR="00437714" w:rsidRPr="00FD6EAE" w:rsidTr="000E65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4" w:rsidRDefault="00437714" w:rsidP="002A0459">
            <w:r>
              <w:t>Scrutiny Committee</w:t>
            </w:r>
          </w:p>
          <w:p w:rsidR="00437714" w:rsidRPr="00FD6EAE" w:rsidRDefault="00437714" w:rsidP="002A045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4" w:rsidRDefault="00437714" w:rsidP="00B65AE5">
            <w:r>
              <w:t>Overall management of the Council’s scrutiny function.</w:t>
            </w:r>
          </w:p>
          <w:p w:rsidR="00011CF9" w:rsidRPr="00FD6EAE" w:rsidRDefault="00011CF9" w:rsidP="00B65AE5">
            <w:pPr>
              <w:pStyle w:val="ListParagraph"/>
              <w:ind w:left="36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4" w:rsidRPr="00FD6EAE" w:rsidRDefault="00D82559" w:rsidP="000D2BDE">
            <w:r>
              <w:t xml:space="preserve">Cllrs Azad, Chapman, Coulter, Fry, Gant, Hayes,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Pegg</w:t>
            </w:r>
            <w:proofErr w:type="spellEnd"/>
            <w:r>
              <w:t xml:space="preserve">, Simmons, Taylor, </w:t>
            </w:r>
            <w:proofErr w:type="spellStart"/>
            <w:r>
              <w:t>Tidball</w:t>
            </w:r>
            <w:proofErr w:type="spellEnd"/>
            <w:r>
              <w:t>, Wilkinson.</w:t>
            </w:r>
          </w:p>
        </w:tc>
      </w:tr>
      <w:tr w:rsidR="00235B17" w:rsidRPr="00FD6EAE" w:rsidTr="000E65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7" w:rsidRPr="00FD6EAE" w:rsidRDefault="00235B17" w:rsidP="00CD3232">
            <w:r w:rsidRPr="00FD6EAE">
              <w:t xml:space="preserve">Finance </w:t>
            </w:r>
            <w:r w:rsidR="000E6526">
              <w:t>(TBC)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7" w:rsidRDefault="00B65AE5" w:rsidP="002A0459">
            <w:r>
              <w:t>F</w:t>
            </w:r>
            <w:r w:rsidR="00235B17">
              <w:t>inance</w:t>
            </w:r>
            <w:r w:rsidR="00437714">
              <w:t xml:space="preserve"> and budgetary</w:t>
            </w:r>
            <w:r w:rsidR="00235B17">
              <w:t xml:space="preserve"> issues </w:t>
            </w:r>
            <w:r w:rsidR="00437714">
              <w:t>and decisions</w:t>
            </w:r>
          </w:p>
          <w:p w:rsidR="009E4509" w:rsidRPr="00FD6EAE" w:rsidRDefault="009E4509" w:rsidP="00437714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7" w:rsidRPr="00FD6EAE" w:rsidRDefault="000E6526" w:rsidP="002A0459">
            <w:r>
              <w:t>TBC</w:t>
            </w:r>
          </w:p>
        </w:tc>
      </w:tr>
      <w:tr w:rsidR="00235B17" w:rsidRPr="005D7951" w:rsidTr="000E65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7" w:rsidRPr="005D7951" w:rsidRDefault="00235B17" w:rsidP="00235B17">
            <w:r w:rsidRPr="005D7951">
              <w:t xml:space="preserve">Housing </w:t>
            </w:r>
            <w:r w:rsidR="000E6526">
              <w:t>(TBC)</w:t>
            </w:r>
            <w:r w:rsidRPr="005D7951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7" w:rsidRPr="005D7951" w:rsidRDefault="00B65AE5" w:rsidP="002A0459">
            <w:r w:rsidRPr="005D7951">
              <w:t>S</w:t>
            </w:r>
            <w:r w:rsidR="00235B17" w:rsidRPr="005D7951">
              <w:t xml:space="preserve">trategic </w:t>
            </w:r>
            <w:r w:rsidR="00A2204F" w:rsidRPr="005D7951">
              <w:t xml:space="preserve">housing </w:t>
            </w:r>
            <w:r w:rsidR="00235B17" w:rsidRPr="005D7951">
              <w:t>and landlord issues</w:t>
            </w:r>
            <w:r w:rsidR="00437714" w:rsidRPr="005D7951">
              <w:t xml:space="preserve"> and decisions</w:t>
            </w:r>
          </w:p>
          <w:p w:rsidR="00A2204F" w:rsidRPr="005D7951" w:rsidRDefault="00A2204F" w:rsidP="002A0459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7" w:rsidRPr="005D7951" w:rsidRDefault="000E6526" w:rsidP="005238EF">
            <w:r>
              <w:t>TBC</w:t>
            </w:r>
          </w:p>
        </w:tc>
      </w:tr>
    </w:tbl>
    <w:p w:rsidR="005807CB" w:rsidRPr="005D7951" w:rsidRDefault="005807CB" w:rsidP="008E46BC">
      <w:pPr>
        <w:rPr>
          <w:u w:val="single"/>
        </w:rPr>
      </w:pPr>
    </w:p>
    <w:p w:rsidR="005A41A3" w:rsidRPr="00A2204F" w:rsidRDefault="007B2C63" w:rsidP="007A6007">
      <w:pPr>
        <w:pStyle w:val="ListParagraph"/>
        <w:ind w:left="0"/>
        <w:rPr>
          <w:b/>
        </w:rPr>
      </w:pPr>
      <w:r w:rsidRPr="00A2204F">
        <w:rPr>
          <w:b/>
        </w:rPr>
        <w:t>Current and planned review groups</w:t>
      </w:r>
    </w:p>
    <w:p w:rsidR="00B65AE5" w:rsidRDefault="00B65AE5" w:rsidP="00A341CE">
      <w:pPr>
        <w:ind w:left="720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5"/>
        <w:gridCol w:w="5953"/>
      </w:tblGrid>
      <w:tr w:rsidR="003C626C" w:rsidRPr="00FD6EAE" w:rsidTr="000E6526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6C" w:rsidRPr="00FD6EAE" w:rsidRDefault="003C626C" w:rsidP="002A0459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6C" w:rsidRPr="00FD6EAE" w:rsidRDefault="003C626C" w:rsidP="002A0459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6C" w:rsidRPr="00FD6EAE" w:rsidRDefault="003C626C" w:rsidP="002A0459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3C626C" w:rsidRPr="00FD6EAE" w:rsidTr="000E65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C" w:rsidRPr="00FD6EAE" w:rsidRDefault="003C626C" w:rsidP="002A0459">
            <w:r>
              <w:t>Budget Review 2016/17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C" w:rsidRPr="00FD6EAE" w:rsidRDefault="003C626C" w:rsidP="002A0459">
            <w:r>
              <w:t>To review the Council’s 2016/17 draft budget and medium term financial plan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C" w:rsidRPr="00FD6EAE" w:rsidRDefault="003C626C" w:rsidP="002A0459">
            <w:r w:rsidRPr="00FD6EAE">
              <w:t>Finance Panel</w:t>
            </w:r>
            <w:r>
              <w:t xml:space="preserve"> Members</w:t>
            </w:r>
            <w:r w:rsidRPr="00FD6EAE">
              <w:t xml:space="preserve"> </w:t>
            </w:r>
          </w:p>
        </w:tc>
      </w:tr>
      <w:tr w:rsidR="003C626C" w:rsidRPr="00FD6EAE" w:rsidTr="000E65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C" w:rsidRPr="00FD6EAE" w:rsidRDefault="003C626C" w:rsidP="002A0459">
            <w:r>
              <w:t>Equality &amp; Diversity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C" w:rsidRPr="00FD6EAE" w:rsidRDefault="003C626C" w:rsidP="002A0459">
            <w:pPr>
              <w:rPr>
                <w:rFonts w:cs="Arial"/>
              </w:rPr>
            </w:pPr>
            <w:r>
              <w:rPr>
                <w:rFonts w:cs="Arial"/>
              </w:rPr>
              <w:t>To review barriers faced by under-represented groups in employment and anti-discrimination practices.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C" w:rsidRPr="00FD6EAE" w:rsidRDefault="003C626C" w:rsidP="002A0459">
            <w:r>
              <w:t xml:space="preserve">Cllrs Hayes (Chair), </w:t>
            </w:r>
            <w:proofErr w:type="spellStart"/>
            <w:r>
              <w:t>Altaf-Khan</w:t>
            </w:r>
            <w:proofErr w:type="spellEnd"/>
            <w:r>
              <w:t>, Taylor &amp; Thomas</w:t>
            </w:r>
          </w:p>
        </w:tc>
      </w:tr>
    </w:tbl>
    <w:p w:rsidR="00971A64" w:rsidRDefault="00971A64" w:rsidP="00971A64">
      <w:pPr>
        <w:rPr>
          <w:b/>
        </w:rPr>
      </w:pPr>
    </w:p>
    <w:p w:rsidR="00971A64" w:rsidRDefault="000E6526" w:rsidP="001D6600">
      <w:pPr>
        <w:rPr>
          <w:b/>
        </w:rPr>
      </w:pPr>
      <w:r>
        <w:rPr>
          <w:b/>
        </w:rPr>
        <w:t>Indicative timings of 2016/17</w:t>
      </w:r>
      <w:r w:rsidR="00971A64">
        <w:rPr>
          <w:b/>
        </w:rPr>
        <w:t xml:space="preserve"> review panels</w:t>
      </w:r>
    </w:p>
    <w:p w:rsidR="00971A64" w:rsidRDefault="00971A64" w:rsidP="00971A64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71A64" w:rsidRPr="00FD6EAE" w:rsidTr="002A0459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4" w:rsidRDefault="00971A64" w:rsidP="002A0459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4" w:rsidRPr="00FD6EAE" w:rsidRDefault="00971A64" w:rsidP="002A0459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71A64" w:rsidRPr="00FD6EAE" w:rsidTr="000E6526">
        <w:trPr>
          <w:trHeight w:val="14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0E6526" w:rsidP="002A0459">
            <w:r>
              <w:t>Review 1 (TBC)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A64" w:rsidRPr="00FD6EAE" w:rsidRDefault="00971A64" w:rsidP="002A0459"/>
        </w:tc>
      </w:tr>
      <w:tr w:rsidR="000E6526" w:rsidRPr="00FD6EAE" w:rsidTr="000E652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26" w:rsidRPr="00FD6EAE" w:rsidRDefault="000E6526" w:rsidP="002A0459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0E6526" w:rsidRPr="00FD6EAE" w:rsidRDefault="000E6526" w:rsidP="002A0459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0E6526" w:rsidRPr="00FD6EAE" w:rsidRDefault="000E6526" w:rsidP="002A0459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526" w:rsidRPr="00FD6EAE" w:rsidRDefault="000E6526" w:rsidP="002A045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0E6526" w:rsidRPr="00FD6EAE" w:rsidRDefault="000E6526" w:rsidP="002A045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0E6526" w:rsidRPr="00FD6EAE" w:rsidRDefault="000E6526" w:rsidP="002A0459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6526" w:rsidRPr="00FD6EAE" w:rsidRDefault="000E6526" w:rsidP="002A0459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26" w:rsidRPr="00FD6EAE" w:rsidRDefault="000E6526" w:rsidP="002A0459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26" w:rsidRPr="00FD6EAE" w:rsidRDefault="000E6526" w:rsidP="002A0459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26" w:rsidRPr="00FD6EAE" w:rsidRDefault="000E6526" w:rsidP="002A0459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26" w:rsidRPr="00FD6EAE" w:rsidRDefault="000E6526" w:rsidP="002A0459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26" w:rsidRPr="00FD6EAE" w:rsidRDefault="000E6526" w:rsidP="002A0459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26" w:rsidRPr="00FD6EAE" w:rsidRDefault="000E6526" w:rsidP="002A0459"/>
        </w:tc>
      </w:tr>
      <w:tr w:rsidR="00971A64" w:rsidRPr="00FD6EAE" w:rsidTr="000E652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0E6526" w:rsidP="002A0459">
            <w:r>
              <w:t>Review 2 (TBC)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4" w:rsidRPr="00FD6EAE" w:rsidRDefault="00971A64" w:rsidP="002A0459"/>
        </w:tc>
      </w:tr>
    </w:tbl>
    <w:p w:rsidR="00971A64" w:rsidRPr="008C3294" w:rsidRDefault="00971A64" w:rsidP="00971A64">
      <w:pPr>
        <w:rPr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</w:tblGrid>
      <w:tr w:rsidR="00971A64" w:rsidRPr="00FD6EAE" w:rsidTr="002A04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71A64" w:rsidRPr="00FD6EAE" w:rsidRDefault="00971A64" w:rsidP="002A045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4" w:rsidRPr="00FD6EAE" w:rsidRDefault="00971A64" w:rsidP="002A0459">
            <w:r w:rsidRPr="00FD6EAE">
              <w:rPr>
                <w:rFonts w:eastAsia="Calibri" w:cs="Arial"/>
              </w:rPr>
              <w:t>Scoping</w:t>
            </w:r>
          </w:p>
        </w:tc>
      </w:tr>
      <w:tr w:rsidR="00971A64" w:rsidRPr="00FD6EAE" w:rsidTr="002A04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71A64" w:rsidRPr="00FD6EAE" w:rsidRDefault="00971A64" w:rsidP="002A045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4" w:rsidRPr="00FD6EAE" w:rsidRDefault="008C3294" w:rsidP="008C3294">
            <w:r>
              <w:rPr>
                <w:rFonts w:eastAsia="Calibri" w:cs="Arial"/>
              </w:rPr>
              <w:t xml:space="preserve">Evidence gathering </w:t>
            </w:r>
          </w:p>
        </w:tc>
      </w:tr>
      <w:tr w:rsidR="00971A64" w:rsidRPr="00FD6EAE" w:rsidTr="002A04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71A64" w:rsidRPr="00FD6EAE" w:rsidRDefault="00971A64" w:rsidP="002A045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4" w:rsidRPr="00FD6EAE" w:rsidRDefault="00971A64" w:rsidP="002A0459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0E6526" w:rsidRDefault="000E6526" w:rsidP="007A6007">
      <w:pPr>
        <w:rPr>
          <w:b/>
          <w:sz w:val="28"/>
          <w:szCs w:val="28"/>
        </w:rPr>
      </w:pPr>
    </w:p>
    <w:p w:rsidR="000E6526" w:rsidRDefault="000E6526" w:rsidP="007A6007">
      <w:pPr>
        <w:rPr>
          <w:b/>
          <w:sz w:val="28"/>
          <w:szCs w:val="28"/>
        </w:rPr>
      </w:pPr>
    </w:p>
    <w:p w:rsidR="00347139" w:rsidRPr="008C3294" w:rsidRDefault="00347139" w:rsidP="00347139">
      <w:pPr>
        <w:rPr>
          <w:b/>
        </w:rPr>
      </w:pPr>
      <w:r>
        <w:rPr>
          <w:b/>
        </w:rPr>
        <w:lastRenderedPageBreak/>
        <w:t>4</w:t>
      </w:r>
      <w:r w:rsidRPr="008C3294">
        <w:rPr>
          <w:b/>
        </w:rPr>
        <w:t xml:space="preserve"> J</w:t>
      </w:r>
      <w:r>
        <w:rPr>
          <w:b/>
        </w:rPr>
        <w:t xml:space="preserve">uly </w:t>
      </w:r>
      <w:r w:rsidRPr="008C3294">
        <w:rPr>
          <w:b/>
        </w:rPr>
        <w:t>2016</w:t>
      </w:r>
      <w:r w:rsidR="00AE0AC1">
        <w:rPr>
          <w:b/>
        </w:rPr>
        <w:t xml:space="preserve"> – provisional reports</w:t>
      </w:r>
    </w:p>
    <w:p w:rsidR="00347139" w:rsidRDefault="00347139" w:rsidP="002C7E72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5528"/>
        <w:gridCol w:w="2694"/>
        <w:gridCol w:w="2409"/>
      </w:tblGrid>
      <w:tr w:rsidR="00B529F9" w:rsidTr="00B529F9">
        <w:trPr>
          <w:trHeight w:val="11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Pr="001D66B5" w:rsidRDefault="00B529F9" w:rsidP="00B529F9">
            <w:r>
              <w:t>Educational Attainment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Default="00B529F9" w:rsidP="00B529F9">
            <w:r>
              <w:t>Scrutiny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Pr="001D66B5" w:rsidRDefault="00B529F9" w:rsidP="00B529F9">
            <w:r>
              <w:t>To consider an independent report on the Council’s educational attainment investments produced by Oxford Brookes University.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Pr="002A0459" w:rsidRDefault="00B529F9" w:rsidP="00B529F9">
            <w:r w:rsidRPr="002A0459">
              <w:t>Councillor Pat Kennedy – Young People, Schools &amp; Skills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9" w:rsidRDefault="00B529F9" w:rsidP="00B529F9">
            <w:r>
              <w:t>Tim Sadler, Executive Director for Community Services</w:t>
            </w:r>
          </w:p>
        </w:tc>
      </w:tr>
      <w:tr w:rsidR="006671F4" w:rsidTr="00347139">
        <w:trPr>
          <w:trHeight w:val="11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Graffiti prevention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Scrutiny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To consider the appreciative inquiry and focus group around graffiti and other initiatives to solve the issues long term.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 w:rsidRPr="002A0459">
              <w:t xml:space="preserve">Councillor John Tanner </w:t>
            </w:r>
            <w:r>
              <w:t>–</w:t>
            </w:r>
            <w:r w:rsidRPr="002A0459">
              <w:t xml:space="preserve"> Climate Change &amp; Cleaner Greener Oxford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Daryl Edmunds, Anti-social Behaviour Investigation Team Leader</w:t>
            </w:r>
          </w:p>
        </w:tc>
      </w:tr>
      <w:tr w:rsidR="00347139" w:rsidTr="00347139">
        <w:trPr>
          <w:trHeight w:val="11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347139" w:rsidP="002A0459">
            <w:r>
              <w:t>Fusion Lifestyle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347139" w:rsidP="002A0459">
            <w:r>
              <w:t>Scrutiny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347139" w:rsidP="002A0459">
            <w:r>
              <w:t>To monitor an annual Fusion Lifestyle contract performance dashboard.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2A0459" w:rsidRDefault="00347139" w:rsidP="002A0459">
            <w:r w:rsidRPr="002A0459">
              <w:t xml:space="preserve">Councillor </w:t>
            </w:r>
            <w:r w:rsidR="002A0459" w:rsidRPr="002A0459">
              <w:t xml:space="preserve">Linda Smith </w:t>
            </w:r>
            <w:r w:rsidR="002A0459">
              <w:t>–</w:t>
            </w:r>
            <w:r w:rsidR="002A0459" w:rsidRPr="002A0459">
              <w:t xml:space="preserve"> Leisure, Parks </w:t>
            </w:r>
            <w:r w:rsidR="002A0459">
              <w:t>&amp;</w:t>
            </w:r>
            <w:r w:rsidR="002A0459" w:rsidRPr="002A0459">
              <w:t xml:space="preserve"> Sport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443047" w:rsidP="002A0459">
            <w:r w:rsidRPr="00443047">
              <w:t>Lucy Cherry, Leisure Performance Manager</w:t>
            </w:r>
          </w:p>
        </w:tc>
      </w:tr>
      <w:tr w:rsidR="00443047" w:rsidTr="00347139">
        <w:trPr>
          <w:trHeight w:val="11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>Fusion Lifestyle’s 2016/2017 Annual Service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>Forward Plan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 w:rsidRPr="00443047">
              <w:t xml:space="preserve">The report will recommend that the City Executive Board endorse Fusion Lifestyle’s Annual Service Plan for the management of the Council’s </w:t>
            </w:r>
            <w:r>
              <w:t>leisure facilities for 2016/17.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Pr="002A0459" w:rsidRDefault="002A0459" w:rsidP="002A0459">
            <w:r w:rsidRPr="002A0459">
              <w:t xml:space="preserve">Councillor Linda Smith </w:t>
            </w:r>
            <w:r>
              <w:t>–</w:t>
            </w:r>
            <w:r w:rsidRPr="002A0459">
              <w:t xml:space="preserve"> Leisure, Parks </w:t>
            </w:r>
            <w:r>
              <w:t xml:space="preserve">&amp; </w:t>
            </w:r>
            <w:r w:rsidRPr="002A0459">
              <w:t>Sport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>Lucy Cherry, Leisure Performance Manager</w:t>
            </w:r>
          </w:p>
        </w:tc>
      </w:tr>
      <w:tr w:rsidR="00443047" w:rsidTr="00347139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>Grant Allocations to Community &amp; Voluntary Organisations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>Forward Plan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>To consider a report on t</w:t>
            </w:r>
            <w:r w:rsidRPr="00C4788F">
              <w:t>he allocation of grants to the community and voluntary organisations for 201</w:t>
            </w:r>
            <w:r>
              <w:t>7</w:t>
            </w:r>
            <w:r w:rsidRPr="00C4788F">
              <w:t>/201</w:t>
            </w:r>
            <w:r>
              <w:t>8</w:t>
            </w:r>
            <w:r w:rsidRPr="00C4788F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Pr="006E236B" w:rsidRDefault="00443047" w:rsidP="002A0459">
            <w:r w:rsidRPr="002A0459">
              <w:t xml:space="preserve">Councillor </w:t>
            </w:r>
            <w:r w:rsidR="002A0459" w:rsidRPr="002A0459">
              <w:t xml:space="preserve">Christine </w:t>
            </w:r>
            <w:proofErr w:type="spellStart"/>
            <w:r w:rsidR="002A0459" w:rsidRPr="002A0459">
              <w:t>Simm</w:t>
            </w:r>
            <w:proofErr w:type="spellEnd"/>
            <w:r w:rsidR="002A0459" w:rsidRPr="002A0459">
              <w:t xml:space="preserve"> – Culture &amp; Communities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47" w:rsidRDefault="00443047" w:rsidP="002A0459">
            <w:r>
              <w:t xml:space="preserve">Julia Tomkins, </w:t>
            </w:r>
            <w:r w:rsidRPr="00C4788F">
              <w:t>Grants &amp; External Funding Officer</w:t>
            </w:r>
          </w:p>
        </w:tc>
      </w:tr>
      <w:tr w:rsidR="00347139" w:rsidTr="00347139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347139" w:rsidP="002A0459">
            <w:r>
              <w:t>Sustainable Energy Action Plan (SEAP) for Oxford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456A9" w:rsidRDefault="00347139" w:rsidP="002A0459">
            <w:r>
              <w:t>Forward Plan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347139" w:rsidP="002A0459">
            <w:r>
              <w:t xml:space="preserve">This report will request approval of our aims, objectives and </w:t>
            </w:r>
            <w:proofErr w:type="spellStart"/>
            <w:r>
              <w:t>emisson</w:t>
            </w:r>
            <w:proofErr w:type="spellEnd"/>
            <w:r>
              <w:t xml:space="preserve"> reduction target for the City and adoption of the action plan attached to the Sustainable Energy Strategy.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2A0459" w:rsidRDefault="00347139" w:rsidP="002A0459">
            <w:r w:rsidRPr="002A0459">
              <w:t xml:space="preserve">Councillor John Tanner </w:t>
            </w:r>
            <w:r w:rsidR="002A0459" w:rsidRPr="002A0459">
              <w:t>–</w:t>
            </w:r>
            <w:r w:rsidRPr="002A0459">
              <w:t xml:space="preserve"> Climate Change </w:t>
            </w:r>
            <w:r w:rsidR="002A0459" w:rsidRPr="002A0459">
              <w:t>&amp;</w:t>
            </w:r>
            <w:r w:rsidRPr="002A0459">
              <w:t xml:space="preserve"> Cleaner Greener Oxford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Default="00347139" w:rsidP="002A0459">
            <w:r>
              <w:t xml:space="preserve">Mairi Brookes, </w:t>
            </w:r>
            <w:proofErr w:type="spellStart"/>
            <w:r>
              <w:t>OxFutures</w:t>
            </w:r>
            <w:proofErr w:type="spellEnd"/>
            <w:r>
              <w:t xml:space="preserve"> Programme Manager</w:t>
            </w:r>
          </w:p>
        </w:tc>
      </w:tr>
    </w:tbl>
    <w:p w:rsidR="00347139" w:rsidRDefault="00347139" w:rsidP="002C7E72"/>
    <w:p w:rsidR="00197B82" w:rsidRDefault="00197B82" w:rsidP="002C7E72"/>
    <w:p w:rsidR="002A0459" w:rsidRDefault="002A0459" w:rsidP="002C7E72"/>
    <w:p w:rsidR="00B529F9" w:rsidRDefault="00B529F9" w:rsidP="002C7E72"/>
    <w:p w:rsidR="002A0459" w:rsidRDefault="002A0459" w:rsidP="002C7E72"/>
    <w:p w:rsidR="002A0459" w:rsidRDefault="002A0459" w:rsidP="002C7E72"/>
    <w:p w:rsidR="002A0459" w:rsidRDefault="002A0459" w:rsidP="002C7E72"/>
    <w:p w:rsidR="00197B82" w:rsidRDefault="00197B82" w:rsidP="00197B82">
      <w:pPr>
        <w:rPr>
          <w:b/>
        </w:rPr>
      </w:pPr>
      <w:r>
        <w:rPr>
          <w:b/>
        </w:rPr>
        <w:lastRenderedPageBreak/>
        <w:t>5 September</w:t>
      </w:r>
      <w:r w:rsidRPr="00197B82">
        <w:rPr>
          <w:b/>
        </w:rPr>
        <w:t xml:space="preserve"> 2016</w:t>
      </w:r>
      <w:r w:rsidR="00AE0AC1">
        <w:rPr>
          <w:b/>
        </w:rPr>
        <w:t xml:space="preserve"> – provisional reports</w:t>
      </w:r>
    </w:p>
    <w:p w:rsidR="00197B82" w:rsidRDefault="00197B82" w:rsidP="00197B82">
      <w:pPr>
        <w:rPr>
          <w:b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5528"/>
        <w:gridCol w:w="2694"/>
        <w:gridCol w:w="2344"/>
      </w:tblGrid>
      <w:tr w:rsidR="00197B82" w:rsidTr="00197B82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Planning Annual Monitoring Report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Forward Plan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861D2D" w:rsidRDefault="00197B82" w:rsidP="002A0459">
            <w:r>
              <w:t>To consider</w:t>
            </w:r>
            <w:r w:rsidRPr="00861D2D">
              <w:t xml:space="preserve"> the effectiveness of planning policies contained within O</w:t>
            </w:r>
            <w:r>
              <w:t>xford’s Local Development Plan.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2A0459">
            <w:pPr>
              <w:rPr>
                <w:color w:val="FF0000"/>
              </w:rPr>
            </w:pPr>
            <w:r w:rsidRPr="002A0459">
              <w:t>Councillor Alex Hollingsworth, Planning and Regulatory Services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 w:rsidRPr="006E236B">
              <w:t>Rebekah Knight, Planner</w:t>
            </w:r>
          </w:p>
        </w:tc>
      </w:tr>
      <w:tr w:rsidR="00197B82" w:rsidTr="00197B82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Review of Oxford City Council’s Tree Management Policy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Forward Plan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The Tree Management Policy was adopted in 2008 and last reviewed in 2011.  If the Tree Management Policy needs to be reviewed then a report will be submitted to CEB.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2A0459" w:rsidP="002A0459">
            <w:pPr>
              <w:rPr>
                <w:color w:val="FF0000"/>
              </w:rPr>
            </w:pPr>
            <w:r w:rsidRPr="002A0459">
              <w:t>Councillor Linda Smith – Leisure, Parks &amp; Sport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Stuart Fitzsimmons, Parks and Open Spaces Manager</w:t>
            </w:r>
          </w:p>
        </w:tc>
      </w:tr>
      <w:tr w:rsidR="00197B82" w:rsidTr="00197B82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Transfer Station for Recycled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>Forward Plan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Default="00197B82" w:rsidP="002A0459">
            <w:r>
              <w:t xml:space="preserve">Proposal to create and operate a Council managed Transfer Station for City collected co-mingled </w:t>
            </w:r>
            <w:proofErr w:type="spellStart"/>
            <w:r>
              <w:t>recyclate</w:t>
            </w:r>
            <w:proofErr w:type="spellEnd"/>
            <w:r>
              <w:t xml:space="preserve">, green waste, street </w:t>
            </w:r>
            <w:proofErr w:type="spellStart"/>
            <w:r>
              <w:t>arisings</w:t>
            </w:r>
            <w:proofErr w:type="spellEnd"/>
            <w:r>
              <w:t xml:space="preserve"> and engineering works spoil.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2A0459">
            <w:pPr>
              <w:rPr>
                <w:color w:val="FF0000"/>
              </w:rPr>
            </w:pPr>
            <w:r w:rsidRPr="002A0459">
              <w:t>Councillor John Tanner – Climate Change &amp; Cleaner Greener Oxford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6E236B" w:rsidRDefault="00197B82" w:rsidP="002A0459">
            <w:r>
              <w:t>Roy Summers, Deputy Head of Direct Services</w:t>
            </w:r>
          </w:p>
        </w:tc>
      </w:tr>
      <w:tr w:rsidR="00197B82" w:rsidRPr="00197B82" w:rsidTr="00197B82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197B82" w:rsidP="00197B82">
            <w:r w:rsidRPr="00197B82">
              <w:t>Recommendation Monitoring – Inequality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197B82" w:rsidP="00197B82">
            <w:r w:rsidRPr="00197B82">
              <w:t>Scrutiny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197B82" w:rsidP="00197B82">
            <w:r w:rsidRPr="00197B82">
              <w:t>To monitor progress and implementation following the recommendations of the Inequality Panel.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2A0459">
            <w:pPr>
              <w:rPr>
                <w:color w:val="FF0000"/>
              </w:rPr>
            </w:pPr>
            <w:r w:rsidRPr="002A0459">
              <w:t>Councillor Bob Price –Corporate Strategy &amp; Economic Development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2" w:rsidRPr="00197B82" w:rsidRDefault="00197B82" w:rsidP="00197B82">
            <w:r w:rsidRPr="00197B82">
              <w:t>Val Johnson, Policy &amp; Partnership Team Leader</w:t>
            </w:r>
          </w:p>
        </w:tc>
      </w:tr>
    </w:tbl>
    <w:p w:rsidR="00197B82" w:rsidRDefault="00197B82" w:rsidP="002C7E72"/>
    <w:p w:rsidR="004C4854" w:rsidRPr="004C4854" w:rsidRDefault="004C4854" w:rsidP="004C4854">
      <w:pPr>
        <w:rPr>
          <w:b/>
          <w:i/>
        </w:rPr>
      </w:pPr>
      <w:r>
        <w:rPr>
          <w:b/>
          <w:i/>
        </w:rPr>
        <w:t xml:space="preserve">Other </w:t>
      </w:r>
      <w:r w:rsidRPr="004C4854">
        <w:rPr>
          <w:b/>
          <w:i/>
        </w:rPr>
        <w:t>2016</w:t>
      </w:r>
      <w:r>
        <w:rPr>
          <w:b/>
          <w:i/>
        </w:rPr>
        <w:t>-</w:t>
      </w:r>
      <w:r w:rsidRPr="004C4854">
        <w:rPr>
          <w:b/>
          <w:i/>
        </w:rPr>
        <w:t xml:space="preserve">17 </w:t>
      </w:r>
      <w:r w:rsidR="00AE0AC1">
        <w:rPr>
          <w:b/>
          <w:i/>
        </w:rPr>
        <w:t xml:space="preserve">Scrutiny Committee </w:t>
      </w:r>
      <w:r>
        <w:rPr>
          <w:b/>
          <w:i/>
        </w:rPr>
        <w:t xml:space="preserve">meeting </w:t>
      </w:r>
      <w:r w:rsidRPr="004C4854">
        <w:rPr>
          <w:b/>
          <w:i/>
        </w:rPr>
        <w:t xml:space="preserve">dates: 7 June, 4 July, 5 September, </w:t>
      </w:r>
      <w:r w:rsidR="00C81DE3">
        <w:rPr>
          <w:b/>
          <w:i/>
        </w:rPr>
        <w:t>6</w:t>
      </w:r>
      <w:r w:rsidRPr="004C4854">
        <w:rPr>
          <w:b/>
          <w:i/>
        </w:rPr>
        <w:t xml:space="preserve"> October, 7 November, 6 December, 30 January, 28 February, 27 March &amp; 2 May</w:t>
      </w:r>
    </w:p>
    <w:p w:rsidR="004C4854" w:rsidRDefault="004C4854" w:rsidP="002C7E72"/>
    <w:p w:rsidR="00197B82" w:rsidRPr="00AE0AC1" w:rsidRDefault="00AE0AC1" w:rsidP="002C7E72">
      <w:pPr>
        <w:rPr>
          <w:b/>
          <w:i/>
        </w:rPr>
      </w:pPr>
      <w:r w:rsidRPr="00AE0AC1">
        <w:rPr>
          <w:b/>
          <w:i/>
        </w:rPr>
        <w:t xml:space="preserve">Provisional </w:t>
      </w:r>
      <w:r>
        <w:rPr>
          <w:b/>
          <w:i/>
        </w:rPr>
        <w:t xml:space="preserve">2016-17 </w:t>
      </w:r>
      <w:r w:rsidRPr="00AE0AC1">
        <w:rPr>
          <w:b/>
          <w:i/>
        </w:rPr>
        <w:t>standing panel meeting dates</w:t>
      </w:r>
      <w:r>
        <w:rPr>
          <w:b/>
          <w:i/>
        </w:rPr>
        <w:t>: 30 June, 8 Sept, 8 Dec, 16 Jan, 1 Feb and 29 March (Finance); 7 July</w:t>
      </w:r>
      <w:r w:rsidR="00087CBD">
        <w:rPr>
          <w:b/>
          <w:i/>
        </w:rPr>
        <w:t>, 5 Oct,  9 Nov, 1 March, 3 May (Housing)</w:t>
      </w:r>
    </w:p>
    <w:p w:rsidR="00197B82" w:rsidRDefault="00197B82" w:rsidP="002C7E72"/>
    <w:p w:rsidR="00197B82" w:rsidRDefault="00197B82" w:rsidP="002C7E72"/>
    <w:p w:rsidR="00197B82" w:rsidRDefault="00197B82" w:rsidP="002C7E72"/>
    <w:p w:rsidR="006671F4" w:rsidRDefault="006671F4" w:rsidP="002C7E72"/>
    <w:p w:rsidR="00087CBD" w:rsidRDefault="00087CBD" w:rsidP="002C7E72"/>
    <w:p w:rsidR="006671F4" w:rsidRDefault="006671F4" w:rsidP="002C7E72"/>
    <w:p w:rsidR="006671F4" w:rsidRDefault="006671F4" w:rsidP="002C7E72"/>
    <w:p w:rsidR="00197B82" w:rsidRDefault="00197B82" w:rsidP="002C7E72"/>
    <w:p w:rsidR="00197B82" w:rsidRDefault="00197B82" w:rsidP="002C7E72"/>
    <w:p w:rsidR="00197B82" w:rsidRDefault="00197B82" w:rsidP="002C7E72"/>
    <w:p w:rsidR="00FA6DA6" w:rsidRPr="0073589B" w:rsidRDefault="00FA6DA6" w:rsidP="00FA6DA6">
      <w:pPr>
        <w:rPr>
          <w:b/>
          <w:sz w:val="28"/>
        </w:rPr>
      </w:pPr>
      <w:r w:rsidRPr="0073589B">
        <w:rPr>
          <w:b/>
          <w:sz w:val="28"/>
        </w:rPr>
        <w:lastRenderedPageBreak/>
        <w:t>Outstanding items from 2015/16 work p</w:t>
      </w:r>
      <w:r>
        <w:rPr>
          <w:b/>
          <w:sz w:val="28"/>
        </w:rPr>
        <w:t>lan</w:t>
      </w:r>
    </w:p>
    <w:p w:rsidR="00FA6DA6" w:rsidRDefault="00FA6DA6" w:rsidP="00FA6DA6"/>
    <w:p w:rsidR="00FA6DA6" w:rsidRPr="003D64F3" w:rsidRDefault="00FA6DA6" w:rsidP="00FA6DA6">
      <w:r>
        <w:t xml:space="preserve">These are items from the previous work plan that have not been considered.  </w:t>
      </w:r>
      <w:r>
        <w:rPr>
          <w:rFonts w:ascii="TT14941o00" w:eastAsiaTheme="minorHAnsi" w:hAnsi="TT14941o00" w:cs="TT14941o00"/>
        </w:rPr>
        <w:t>When selecting and prioritising items for the scrutiny work plan, members are asked to apply the following criteria:</w:t>
      </w:r>
    </w:p>
    <w:p w:rsidR="00FA6DA6" w:rsidRPr="00793FE0" w:rsidRDefault="00FA6DA6" w:rsidP="00FA6DA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Is the issue controversial / of significant public interest?</w:t>
      </w:r>
      <w:r>
        <w:rPr>
          <w:rFonts w:ascii="TT14945o00" w:eastAsiaTheme="minorHAnsi" w:hAnsi="TT14945o00" w:cs="TT14945o00"/>
          <w:i/>
        </w:rPr>
        <w:t xml:space="preserve"> (P)</w:t>
      </w:r>
    </w:p>
    <w:p w:rsidR="00FA6DA6" w:rsidRPr="00793FE0" w:rsidRDefault="00FA6DA6" w:rsidP="00FA6DA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Is it an area of high expenditure?</w:t>
      </w:r>
      <w:r>
        <w:rPr>
          <w:rFonts w:ascii="TT14945o00" w:eastAsiaTheme="minorHAnsi" w:hAnsi="TT14945o00" w:cs="TT14945o00"/>
          <w:i/>
        </w:rPr>
        <w:t xml:space="preserve"> (F)</w:t>
      </w:r>
    </w:p>
    <w:p w:rsidR="00FA6DA6" w:rsidRPr="00793FE0" w:rsidRDefault="00FA6DA6" w:rsidP="00FA6DA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Is it an essential service / corporate priority?</w:t>
      </w:r>
      <w:r>
        <w:rPr>
          <w:rFonts w:ascii="TT14945o00" w:eastAsiaTheme="minorHAnsi" w:hAnsi="TT14945o00" w:cs="TT14945o00"/>
          <w:i/>
        </w:rPr>
        <w:t xml:space="preserve"> (E)</w:t>
      </w:r>
    </w:p>
    <w:p w:rsidR="00FA6DA6" w:rsidRPr="00793FE0" w:rsidRDefault="00FA6DA6" w:rsidP="00FA6DA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Can Scrutiny influence and add value?</w:t>
      </w:r>
      <w:r>
        <w:rPr>
          <w:rFonts w:ascii="TT14945o00" w:eastAsiaTheme="minorHAnsi" w:hAnsi="TT14945o00" w:cs="TT14945o00"/>
          <w:i/>
        </w:rPr>
        <w:t xml:space="preserve"> (I)</w:t>
      </w:r>
    </w:p>
    <w:p w:rsidR="00FA6DA6" w:rsidRDefault="00FA6DA6" w:rsidP="00FA6DA6">
      <w:pPr>
        <w:autoSpaceDE w:val="0"/>
        <w:autoSpaceDN w:val="0"/>
        <w:adjustRightInd w:val="0"/>
        <w:rPr>
          <w:rFonts w:ascii="TT14945o00" w:eastAsiaTheme="minorHAnsi" w:hAnsi="TT14945o00" w:cs="TT14945o00"/>
        </w:rPr>
      </w:pPr>
    </w:p>
    <w:p w:rsidR="009B16D6" w:rsidRDefault="009B16D6" w:rsidP="009C57BF">
      <w:pPr>
        <w:autoSpaceDE w:val="0"/>
        <w:autoSpaceDN w:val="0"/>
        <w:adjustRightInd w:val="0"/>
        <w:rPr>
          <w:rFonts w:ascii="TT14941o00" w:eastAsiaTheme="minorHAnsi" w:hAnsi="TT14941o00" w:cs="TT14941o00"/>
        </w:rPr>
      </w:pPr>
      <w:r w:rsidRPr="009B16D6">
        <w:rPr>
          <w:rFonts w:ascii="TT14941o00" w:eastAsiaTheme="minorHAnsi" w:hAnsi="TT14941o00" w:cs="TT14941o00"/>
        </w:rPr>
        <w:t>To assist the Committee in its decision making the Scrutiny Officer has provided some suggested scores against these items:</w:t>
      </w:r>
    </w:p>
    <w:p w:rsidR="00FA6DA6" w:rsidRDefault="00FA6DA6" w:rsidP="009C57BF">
      <w:pPr>
        <w:autoSpaceDE w:val="0"/>
        <w:autoSpaceDN w:val="0"/>
        <w:adjustRightInd w:val="0"/>
        <w:rPr>
          <w:rFonts w:ascii="TT14945o00" w:eastAsiaTheme="minorHAnsi" w:hAnsi="TT14945o00" w:cs="TT14945o00"/>
        </w:rPr>
      </w:pPr>
      <w:r>
        <w:rPr>
          <w:rFonts w:ascii="TT14945o00" w:eastAsiaTheme="minorHAnsi" w:hAnsi="TT14945o00" w:cs="TT14945o00"/>
        </w:rPr>
        <w:t>2 = Yes / High</w:t>
      </w:r>
      <w:r w:rsidR="009C57BF">
        <w:rPr>
          <w:rFonts w:ascii="TT14945o00" w:eastAsiaTheme="minorHAnsi" w:hAnsi="TT14945o00" w:cs="TT14945o00"/>
        </w:rPr>
        <w:tab/>
      </w:r>
      <w:r>
        <w:rPr>
          <w:rFonts w:ascii="TT14945o00" w:eastAsiaTheme="minorHAnsi" w:hAnsi="TT14945o00" w:cs="TT14945o00"/>
        </w:rPr>
        <w:t>1 = Moderate / Some constraints</w:t>
      </w:r>
      <w:r w:rsidR="009C57BF">
        <w:rPr>
          <w:rFonts w:ascii="TT14945o00" w:eastAsiaTheme="minorHAnsi" w:hAnsi="TT14945o00" w:cs="TT14945o00"/>
        </w:rPr>
        <w:tab/>
      </w:r>
      <w:r w:rsidR="009C57BF">
        <w:rPr>
          <w:rFonts w:ascii="TT14945o00" w:eastAsiaTheme="minorHAnsi" w:hAnsi="TT14945o00" w:cs="TT14945o00"/>
        </w:rPr>
        <w:tab/>
      </w:r>
      <w:r>
        <w:rPr>
          <w:rFonts w:ascii="TT14945o00" w:eastAsiaTheme="minorHAnsi" w:hAnsi="TT14945o00" w:cs="TT14945o00"/>
        </w:rPr>
        <w:t>0 = None / Little</w:t>
      </w:r>
    </w:p>
    <w:p w:rsidR="009C57BF" w:rsidRDefault="009C57BF" w:rsidP="00FA6DA6">
      <w:pPr>
        <w:ind w:left="720"/>
        <w:rPr>
          <w:rFonts w:ascii="TT14945o00" w:eastAsiaTheme="minorHAnsi" w:hAnsi="TT14945o00" w:cs="TT14945o00"/>
        </w:rPr>
      </w:pPr>
    </w:p>
    <w:p w:rsidR="009C57BF" w:rsidRPr="009C57BF" w:rsidRDefault="00087CBD" w:rsidP="00FA6DA6">
      <w:pPr>
        <w:rPr>
          <w:b/>
        </w:rPr>
      </w:pPr>
      <w:r>
        <w:rPr>
          <w:b/>
        </w:rPr>
        <w:t>I</w:t>
      </w:r>
      <w:r w:rsidR="009C57BF">
        <w:rPr>
          <w:b/>
        </w:rPr>
        <w:t xml:space="preserve">tems included in the 2015/16 work plan </w:t>
      </w:r>
      <w:r>
        <w:rPr>
          <w:b/>
        </w:rPr>
        <w:t>that have not been</w:t>
      </w:r>
      <w:r w:rsidR="009C57BF">
        <w:rPr>
          <w:b/>
        </w:rPr>
        <w:t xml:space="preserve"> completed</w:t>
      </w:r>
    </w:p>
    <w:p w:rsidR="00CC685E" w:rsidRDefault="00CC685E" w:rsidP="00FA6DA6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2977"/>
        <w:gridCol w:w="2551"/>
        <w:gridCol w:w="567"/>
        <w:gridCol w:w="567"/>
        <w:gridCol w:w="567"/>
        <w:gridCol w:w="567"/>
        <w:gridCol w:w="851"/>
      </w:tblGrid>
      <w:tr w:rsidR="00FA6DA6" w:rsidTr="004009EA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DA6" w:rsidRPr="00FD6EAE" w:rsidRDefault="00FA6DA6" w:rsidP="00D41310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DA6" w:rsidRPr="00FD6EAE" w:rsidRDefault="00FA6DA6" w:rsidP="00D4131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Lead Officer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6DA6" w:rsidRDefault="00FA6DA6" w:rsidP="00D4131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A6DA6" w:rsidTr="004009EA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54668" w:rsidRDefault="00FA6DA6" w:rsidP="00D41310">
            <w:r w:rsidRPr="00C54668">
              <w:t>Complaints received by the City Council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54668" w:rsidRDefault="00FA6DA6" w:rsidP="00D41310">
            <w:r w:rsidRPr="00C54668">
              <w:t>To monitor complaints made about the City Council.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54668" w:rsidRDefault="00FA6DA6" w:rsidP="009C57BF">
            <w:r w:rsidRPr="00C54668">
              <w:t>Lower priority item for the Committee.  Complaints to be included in 2016/17 performance reports</w:t>
            </w:r>
          </w:p>
        </w:tc>
        <w:tc>
          <w:tcPr>
            <w:tcW w:w="2551" w:type="dxa"/>
          </w:tcPr>
          <w:p w:rsidR="00FA6DA6" w:rsidRPr="00C54668" w:rsidRDefault="0017221F" w:rsidP="00D41310">
            <w:r>
              <w:t>Mike Newman, Corporate Affairs Lead</w:t>
            </w:r>
          </w:p>
        </w:tc>
        <w:tc>
          <w:tcPr>
            <w:tcW w:w="567" w:type="dxa"/>
          </w:tcPr>
          <w:p w:rsidR="00FA6DA6" w:rsidRPr="00C54668" w:rsidRDefault="00FA6DA6" w:rsidP="00D41310">
            <w:r w:rsidRPr="00C54668">
              <w:t>1</w:t>
            </w:r>
          </w:p>
        </w:tc>
        <w:tc>
          <w:tcPr>
            <w:tcW w:w="567" w:type="dxa"/>
          </w:tcPr>
          <w:p w:rsidR="00FA6DA6" w:rsidRPr="00C54668" w:rsidRDefault="00FA6DA6" w:rsidP="00D41310">
            <w:r w:rsidRPr="00C54668">
              <w:t>1</w:t>
            </w:r>
          </w:p>
        </w:tc>
        <w:tc>
          <w:tcPr>
            <w:tcW w:w="567" w:type="dxa"/>
          </w:tcPr>
          <w:p w:rsidR="00FA6DA6" w:rsidRPr="00C54668" w:rsidRDefault="00FA6DA6" w:rsidP="00D41310">
            <w:r w:rsidRPr="00C54668">
              <w:t>2</w:t>
            </w:r>
          </w:p>
        </w:tc>
        <w:tc>
          <w:tcPr>
            <w:tcW w:w="567" w:type="dxa"/>
          </w:tcPr>
          <w:p w:rsidR="00FA6DA6" w:rsidRPr="00C54668" w:rsidRDefault="00FA6DA6" w:rsidP="00D41310">
            <w:r w:rsidRPr="00C54668">
              <w:t>2</w:t>
            </w:r>
          </w:p>
        </w:tc>
        <w:tc>
          <w:tcPr>
            <w:tcW w:w="851" w:type="dxa"/>
          </w:tcPr>
          <w:p w:rsidR="00FA6DA6" w:rsidRPr="00C54668" w:rsidRDefault="00FA6DA6" w:rsidP="00D41310">
            <w:r w:rsidRPr="00C54668">
              <w:t>6</w:t>
            </w:r>
          </w:p>
        </w:tc>
      </w:tr>
      <w:tr w:rsidR="00FA6DA6" w:rsidTr="004009EA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54668" w:rsidRDefault="00FA6DA6" w:rsidP="00D41310">
            <w:r w:rsidRPr="00C54668">
              <w:t>Heritage listing process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54668" w:rsidRDefault="00FA6DA6" w:rsidP="009C57BF">
            <w:r w:rsidRPr="00C54668">
              <w:t>To receive an update on the heritage listing process now that heritage assets are given more p</w:t>
            </w:r>
            <w:r w:rsidR="009C57BF">
              <w:t>rominence in planning decisions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54668" w:rsidRDefault="00FA6DA6" w:rsidP="00D41310">
            <w:r w:rsidRPr="00C54668">
              <w:t>Lower priority item for the Committee.  Reports to CEB not selected for pre-decision scrutiny.</w:t>
            </w:r>
          </w:p>
        </w:tc>
        <w:tc>
          <w:tcPr>
            <w:tcW w:w="2551" w:type="dxa"/>
          </w:tcPr>
          <w:p w:rsidR="00FA6DA6" w:rsidRPr="00C54668" w:rsidRDefault="00FA6DA6" w:rsidP="00D41310">
            <w:r>
              <w:t>Sarah Harrison, Principle Planner</w:t>
            </w:r>
          </w:p>
        </w:tc>
        <w:tc>
          <w:tcPr>
            <w:tcW w:w="567" w:type="dxa"/>
          </w:tcPr>
          <w:p w:rsidR="00FA6DA6" w:rsidRPr="00C54668" w:rsidRDefault="00DD4767" w:rsidP="00D41310">
            <w:r>
              <w:t>2</w:t>
            </w:r>
          </w:p>
        </w:tc>
        <w:tc>
          <w:tcPr>
            <w:tcW w:w="567" w:type="dxa"/>
          </w:tcPr>
          <w:p w:rsidR="00FA6DA6" w:rsidRPr="00C54668" w:rsidRDefault="00FA6DA6" w:rsidP="00D41310">
            <w:r w:rsidRPr="00C54668">
              <w:t>1</w:t>
            </w:r>
          </w:p>
        </w:tc>
        <w:tc>
          <w:tcPr>
            <w:tcW w:w="567" w:type="dxa"/>
          </w:tcPr>
          <w:p w:rsidR="00FA6DA6" w:rsidRPr="00C54668" w:rsidRDefault="00F81021" w:rsidP="00D41310">
            <w:r>
              <w:t>1</w:t>
            </w:r>
          </w:p>
        </w:tc>
        <w:tc>
          <w:tcPr>
            <w:tcW w:w="567" w:type="dxa"/>
          </w:tcPr>
          <w:p w:rsidR="00FA6DA6" w:rsidRPr="00C54668" w:rsidRDefault="00DD4767" w:rsidP="00DD4767">
            <w:r>
              <w:t>1</w:t>
            </w:r>
          </w:p>
        </w:tc>
        <w:tc>
          <w:tcPr>
            <w:tcW w:w="851" w:type="dxa"/>
          </w:tcPr>
          <w:p w:rsidR="00FA6DA6" w:rsidRDefault="00F81021" w:rsidP="00D41310">
            <w:r>
              <w:t>5</w:t>
            </w:r>
          </w:p>
        </w:tc>
      </w:tr>
      <w:tr w:rsidR="008E528D" w:rsidTr="004009EA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D" w:rsidRPr="001D66B5" w:rsidRDefault="008E528D" w:rsidP="00E159E4">
            <w:r w:rsidRPr="005308D5">
              <w:t>Member involvement in  HR policy, appeals, hearings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D" w:rsidRPr="001D66B5" w:rsidRDefault="008E528D" w:rsidP="00E159E4">
            <w:r w:rsidRPr="0073589B">
              <w:t xml:space="preserve">To consider whether the Council would benefit from having </w:t>
            </w:r>
            <w:r>
              <w:t xml:space="preserve">a </w:t>
            </w:r>
            <w:r w:rsidRPr="0073589B">
              <w:t>different arrangemen</w:t>
            </w:r>
            <w:r>
              <w:t>t in place (e.g. a Personnel Committee).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D" w:rsidRDefault="008E528D" w:rsidP="00E159E4">
            <w:r>
              <w:t>Higher priority item for the Committee.  Would require a review group or one-off panel.</w:t>
            </w:r>
          </w:p>
        </w:tc>
        <w:tc>
          <w:tcPr>
            <w:tcW w:w="2551" w:type="dxa"/>
          </w:tcPr>
          <w:p w:rsidR="008E528D" w:rsidRDefault="008E528D" w:rsidP="00E159E4">
            <w:r>
              <w:t xml:space="preserve">Simon </w:t>
            </w:r>
            <w:proofErr w:type="spellStart"/>
            <w:r>
              <w:t>Howick</w:t>
            </w:r>
            <w:proofErr w:type="spellEnd"/>
            <w:r>
              <w:t>, Corporate Lead – HR/OD</w:t>
            </w:r>
          </w:p>
        </w:tc>
        <w:tc>
          <w:tcPr>
            <w:tcW w:w="567" w:type="dxa"/>
          </w:tcPr>
          <w:p w:rsidR="008E528D" w:rsidRDefault="008E528D" w:rsidP="00E159E4">
            <w:r>
              <w:t>0</w:t>
            </w:r>
          </w:p>
        </w:tc>
        <w:tc>
          <w:tcPr>
            <w:tcW w:w="567" w:type="dxa"/>
          </w:tcPr>
          <w:p w:rsidR="008E528D" w:rsidRDefault="008E528D" w:rsidP="00E159E4">
            <w:r>
              <w:t>1</w:t>
            </w:r>
          </w:p>
        </w:tc>
        <w:tc>
          <w:tcPr>
            <w:tcW w:w="567" w:type="dxa"/>
          </w:tcPr>
          <w:p w:rsidR="008E528D" w:rsidRDefault="008E528D" w:rsidP="00E159E4">
            <w:r>
              <w:t>2</w:t>
            </w:r>
          </w:p>
        </w:tc>
        <w:tc>
          <w:tcPr>
            <w:tcW w:w="567" w:type="dxa"/>
          </w:tcPr>
          <w:p w:rsidR="008E528D" w:rsidRDefault="008E528D" w:rsidP="00E159E4">
            <w:r>
              <w:t>2</w:t>
            </w:r>
          </w:p>
        </w:tc>
        <w:tc>
          <w:tcPr>
            <w:tcW w:w="851" w:type="dxa"/>
          </w:tcPr>
          <w:p w:rsidR="008E528D" w:rsidRDefault="008E528D" w:rsidP="00E159E4">
            <w:r>
              <w:t>5</w:t>
            </w:r>
          </w:p>
        </w:tc>
      </w:tr>
      <w:tr w:rsidR="00FA6DA6" w:rsidTr="004009EA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17165C" w:rsidRDefault="00FA6DA6" w:rsidP="00D41310">
            <w:r w:rsidRPr="0073589B">
              <w:t>Public Communications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9C57BF">
            <w:r w:rsidRPr="0073589B">
              <w:t>To receive an up</w:t>
            </w:r>
            <w:r w:rsidR="009C57BF">
              <w:t>date on changes to the Council</w:t>
            </w:r>
            <w:r w:rsidRPr="0073589B">
              <w:t xml:space="preserve"> communications and reputation management.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D41310">
            <w:r>
              <w:t>Lower priority item for the Committee.</w:t>
            </w:r>
          </w:p>
        </w:tc>
        <w:tc>
          <w:tcPr>
            <w:tcW w:w="2551" w:type="dxa"/>
          </w:tcPr>
          <w:p w:rsidR="00FA6DA6" w:rsidRDefault="009C57BF" w:rsidP="0017221F">
            <w:r>
              <w:t xml:space="preserve">Gerry </w:t>
            </w:r>
            <w:proofErr w:type="spellStart"/>
            <w:r>
              <w:t>Mc</w:t>
            </w:r>
            <w:r w:rsidR="0017221F">
              <w:t>i</w:t>
            </w:r>
            <w:r>
              <w:t>lwaine</w:t>
            </w:r>
            <w:proofErr w:type="spellEnd"/>
            <w:r>
              <w:t xml:space="preserve">, </w:t>
            </w:r>
            <w:r w:rsidR="0017221F">
              <w:t>Communications Manager</w:t>
            </w:r>
          </w:p>
        </w:tc>
        <w:tc>
          <w:tcPr>
            <w:tcW w:w="567" w:type="dxa"/>
          </w:tcPr>
          <w:p w:rsidR="00FA6DA6" w:rsidRDefault="00FA6DA6" w:rsidP="00D41310">
            <w:r>
              <w:t>1</w:t>
            </w:r>
          </w:p>
        </w:tc>
        <w:tc>
          <w:tcPr>
            <w:tcW w:w="567" w:type="dxa"/>
          </w:tcPr>
          <w:p w:rsidR="00FA6DA6" w:rsidRDefault="00FA6DA6" w:rsidP="00D41310">
            <w:r>
              <w:t>1</w:t>
            </w:r>
          </w:p>
        </w:tc>
        <w:tc>
          <w:tcPr>
            <w:tcW w:w="567" w:type="dxa"/>
          </w:tcPr>
          <w:p w:rsidR="00FA6DA6" w:rsidRDefault="00F81021" w:rsidP="00D41310">
            <w:r>
              <w:t>1</w:t>
            </w:r>
          </w:p>
        </w:tc>
        <w:tc>
          <w:tcPr>
            <w:tcW w:w="567" w:type="dxa"/>
          </w:tcPr>
          <w:p w:rsidR="00FA6DA6" w:rsidRDefault="002F4BD6" w:rsidP="00D41310">
            <w:r>
              <w:t>1</w:t>
            </w:r>
          </w:p>
        </w:tc>
        <w:tc>
          <w:tcPr>
            <w:tcW w:w="851" w:type="dxa"/>
          </w:tcPr>
          <w:p w:rsidR="00FA6DA6" w:rsidRDefault="00F81021" w:rsidP="00D41310">
            <w:r>
              <w:t>4</w:t>
            </w:r>
          </w:p>
        </w:tc>
      </w:tr>
      <w:tr w:rsidR="00FA6DA6" w:rsidTr="004009EA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D41310">
            <w:r w:rsidRPr="0073589B">
              <w:t>Maintenance of roads and pavements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4009EA">
            <w:r w:rsidRPr="0073589B">
              <w:t>To consider contract</w:t>
            </w:r>
            <w:r w:rsidR="004009EA">
              <w:t>ing arrangements</w:t>
            </w:r>
            <w:r w:rsidRPr="0073589B">
              <w:t>, the quality of sub- work and how this is monitored.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D41310">
            <w:r>
              <w:t>Lower priority item for the Committee.  Little opportunity to influence.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17221F" w:rsidP="00D41310">
            <w:r>
              <w:t>Shaun Hatton, Highways &amp; Engineering Manager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17221F" w:rsidP="00DD4767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D41310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FA6DA6" w:rsidP="00D41310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17221F" w:rsidP="00D4131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Default="00CE0AAF" w:rsidP="00D41310">
            <w:r>
              <w:t>4</w:t>
            </w:r>
          </w:p>
        </w:tc>
      </w:tr>
    </w:tbl>
    <w:p w:rsidR="00FA6DA6" w:rsidRDefault="00FA6DA6" w:rsidP="00FA6DA6"/>
    <w:p w:rsidR="007A47F2" w:rsidRPr="007A47F2" w:rsidRDefault="00087CBD" w:rsidP="007A47F2">
      <w:pPr>
        <w:rPr>
          <w:b/>
        </w:rPr>
      </w:pPr>
      <w:r>
        <w:rPr>
          <w:b/>
        </w:rPr>
        <w:t>D</w:t>
      </w:r>
      <w:r w:rsidR="009C57BF">
        <w:rPr>
          <w:b/>
        </w:rPr>
        <w:t>ecisions listed on the</w:t>
      </w:r>
      <w:r w:rsidR="007A47F2" w:rsidRPr="007A47F2">
        <w:rPr>
          <w:b/>
        </w:rPr>
        <w:t xml:space="preserve"> Forward Plan that have previously been selected for pre-decision scrutiny</w:t>
      </w:r>
    </w:p>
    <w:p w:rsidR="007A47F2" w:rsidRDefault="007A47F2" w:rsidP="007A47F2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812"/>
        <w:gridCol w:w="3118"/>
        <w:gridCol w:w="567"/>
        <w:gridCol w:w="567"/>
        <w:gridCol w:w="567"/>
        <w:gridCol w:w="567"/>
        <w:gridCol w:w="851"/>
      </w:tblGrid>
      <w:tr w:rsidR="007A47F2" w:rsidTr="004009E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Agenda 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Lead Officer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7F2" w:rsidRPr="007A47F2" w:rsidRDefault="007A47F2" w:rsidP="007A47F2">
            <w:pPr>
              <w:rPr>
                <w:b/>
              </w:rPr>
            </w:pPr>
            <w:r w:rsidRPr="007A47F2">
              <w:rPr>
                <w:b/>
              </w:rPr>
              <w:t>Total</w:t>
            </w:r>
          </w:p>
        </w:tc>
      </w:tr>
      <w:tr w:rsidR="007A47F2" w:rsidTr="004009E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Review of Oxford City Council’s Tree Management Policy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The Tree Management Policy was adopted in 2008 and last reviewed in 2011.  If the Tree Management Policy needs to be reviewed then a report will be submitted to CEB.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>Stuart Fitzsimmons, Parks and Open Spaces Manager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8</w:t>
            </w:r>
          </w:p>
        </w:tc>
      </w:tr>
      <w:tr w:rsidR="007A47F2" w:rsidTr="004009E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Youth Ambition Strategy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861D2D" w:rsidRDefault="007A47F2" w:rsidP="009C57BF">
            <w:r>
              <w:t>The Youth Ambition Strategy will be renewed in 2017 following a needs assessment.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 xml:space="preserve">Hagan </w:t>
            </w:r>
            <w:proofErr w:type="spellStart"/>
            <w:r>
              <w:t>Lewisman</w:t>
            </w:r>
            <w:proofErr w:type="spellEnd"/>
            <w:r>
              <w:t>, Active Communities Manager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>8</w:t>
            </w:r>
          </w:p>
        </w:tc>
      </w:tr>
      <w:tr w:rsidR="007A47F2" w:rsidTr="004009E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Grant Allocations to Community &amp; Voluntary Org</w:t>
            </w:r>
            <w:r w:rsidR="009C57BF">
              <w:t>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To consider a report on t</w:t>
            </w:r>
            <w:r w:rsidRPr="00C4788F">
              <w:t>he allocation of grants to the community and voluntary organisations for 201</w:t>
            </w:r>
            <w:r>
              <w:t>7</w:t>
            </w:r>
            <w:r w:rsidRPr="00C4788F">
              <w:t>/201</w:t>
            </w:r>
            <w:r>
              <w:t>8</w:t>
            </w:r>
            <w:r w:rsidRPr="00C4788F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>
              <w:t xml:space="preserve">Julia Tomkins, </w:t>
            </w:r>
            <w:r w:rsidRPr="00C4788F">
              <w:t>Grants &amp; External Funding Officer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8</w:t>
            </w:r>
          </w:p>
        </w:tc>
      </w:tr>
      <w:tr w:rsidR="007A47F2" w:rsidTr="004009E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Planning Annual Monitoring Report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To consider</w:t>
            </w:r>
            <w:r w:rsidRPr="00861D2D">
              <w:t xml:space="preserve"> the effectiveness of planning policies contained within O</w:t>
            </w:r>
            <w:r>
              <w:t>xford’s Local Development Plan.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E236B" w:rsidRDefault="007A47F2" w:rsidP="009C57BF">
            <w:r w:rsidRPr="006E236B">
              <w:t>Rebekah Knight, Planner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8</w:t>
            </w:r>
          </w:p>
        </w:tc>
      </w:tr>
      <w:tr w:rsidR="007A47F2" w:rsidTr="004009E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9C57BF">
            <w:r>
              <w:t>Waterways PSPO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 w:rsidRPr="009C57BF">
              <w:t xml:space="preserve">The report will contain a proposal to the CEB to introduce a Public Spaces Protection Order for certain behaviours on </w:t>
            </w:r>
            <w:r>
              <w:t>Oxford</w:t>
            </w:r>
            <w:r w:rsidRPr="009C57BF">
              <w:t xml:space="preserve"> waterways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 w:rsidRPr="009C57BF">
              <w:t>Richard Adams, Community Safety &amp; Resilience Manager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9C57BF" w:rsidP="009C57BF">
            <w:r>
              <w:t>8</w:t>
            </w:r>
          </w:p>
        </w:tc>
      </w:tr>
      <w:tr w:rsidR="00CE0AAF" w:rsidTr="00CE0AAF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Transfer Station for Recycled Material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Proposal to create and operate a Council managed Transfer Station.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Roy Summers, Deputy Head of Direct Services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AF" w:rsidRDefault="00CE0AAF" w:rsidP="00CE0AAF">
            <w:r>
              <w:t>7</w:t>
            </w:r>
          </w:p>
        </w:tc>
      </w:tr>
    </w:tbl>
    <w:p w:rsidR="007A47F2" w:rsidRDefault="007A47F2" w:rsidP="00FA6DA6"/>
    <w:p w:rsidR="009C57BF" w:rsidRDefault="009C57BF" w:rsidP="00FA6DA6"/>
    <w:p w:rsidR="00FA6DA6" w:rsidRPr="002F4BD6" w:rsidRDefault="00FA6DA6" w:rsidP="00FA6DA6">
      <w:pPr>
        <w:rPr>
          <w:b/>
        </w:rPr>
      </w:pPr>
      <w:r w:rsidRPr="002F4BD6">
        <w:rPr>
          <w:b/>
        </w:rPr>
        <w:t xml:space="preserve">The following review </w:t>
      </w:r>
      <w:r w:rsidR="00087CBD">
        <w:rPr>
          <w:b/>
        </w:rPr>
        <w:t>groups</w:t>
      </w:r>
      <w:r w:rsidRPr="002F4BD6">
        <w:rPr>
          <w:b/>
        </w:rPr>
        <w:t xml:space="preserve"> have concluded but the Committee may wish to monitor progress: </w:t>
      </w:r>
    </w:p>
    <w:p w:rsidR="00FA6DA6" w:rsidRDefault="00FA6DA6" w:rsidP="00FA6DA6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  <w:gridCol w:w="4253"/>
      </w:tblGrid>
      <w:tr w:rsidR="00FA6DA6" w:rsidTr="00087CBD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04A2E" w:rsidRDefault="00087CBD" w:rsidP="00087CBD">
            <w:r>
              <w:t xml:space="preserve">Guest Houses Review Group - </w:t>
            </w:r>
            <w:r w:rsidR="00FA6DA6" w:rsidRPr="00C04A2E">
              <w:t xml:space="preserve">Recommendation monitoring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04A2E" w:rsidRDefault="00FA6DA6" w:rsidP="00D41310">
            <w:r w:rsidRPr="00C04A2E">
              <w:t>To monitor progress and implementation following the recommendations of the Guest Houses Review Group.</w:t>
            </w:r>
          </w:p>
        </w:tc>
        <w:tc>
          <w:tcPr>
            <w:tcW w:w="4253" w:type="dxa"/>
          </w:tcPr>
          <w:p w:rsidR="00FA6DA6" w:rsidRDefault="00FA6DA6" w:rsidP="00D41310">
            <w:r>
              <w:t>Richard Adams, Community Safety &amp; Resilience Manager</w:t>
            </w:r>
          </w:p>
        </w:tc>
      </w:tr>
      <w:tr w:rsidR="00FA6DA6" w:rsidTr="00087CBD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04A2E" w:rsidRDefault="00FA6DA6" w:rsidP="00D41310">
            <w:r w:rsidRPr="00C04A2E">
              <w:t>Cycling</w:t>
            </w:r>
            <w:r w:rsidR="00087CBD">
              <w:t xml:space="preserve"> Review Group – Recommendation monitoring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04A2E" w:rsidRDefault="00FA6DA6" w:rsidP="00D41310">
            <w:r w:rsidRPr="00C04A2E">
              <w:t>To monitor progress and implementation following the recommendations of the Cycling Review Group</w:t>
            </w:r>
          </w:p>
        </w:tc>
        <w:tc>
          <w:tcPr>
            <w:tcW w:w="4253" w:type="dxa"/>
          </w:tcPr>
          <w:p w:rsidR="00FA6DA6" w:rsidRDefault="00FA6DA6" w:rsidP="00D41310">
            <w:r>
              <w:t>Mai Jarvis, Environmental Quality Team Manager</w:t>
            </w:r>
          </w:p>
        </w:tc>
      </w:tr>
      <w:tr w:rsidR="00FA6DA6" w:rsidTr="00087CBD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04A2E" w:rsidRDefault="00087CBD" w:rsidP="00087CBD">
            <w:r>
              <w:t>Inequality Panel -Recommendation m</w:t>
            </w:r>
            <w:r w:rsidR="00FA6DA6" w:rsidRPr="00C04A2E">
              <w:t xml:space="preserve">onitoring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6" w:rsidRPr="00C04A2E" w:rsidRDefault="00FA6DA6" w:rsidP="00D41310">
            <w:r w:rsidRPr="00C04A2E">
              <w:t>To monitor progress and implementation following the recommendations of the Inequality Panel.</w:t>
            </w:r>
          </w:p>
        </w:tc>
        <w:tc>
          <w:tcPr>
            <w:tcW w:w="4253" w:type="dxa"/>
          </w:tcPr>
          <w:p w:rsidR="00FA6DA6" w:rsidRDefault="00FA6DA6" w:rsidP="00D41310">
            <w:r>
              <w:t>Val Johnson, Policy &amp; Partnerships Team Manager</w:t>
            </w:r>
          </w:p>
        </w:tc>
      </w:tr>
    </w:tbl>
    <w:p w:rsidR="00FA6DA6" w:rsidRPr="008A22C6" w:rsidRDefault="00FA6DA6" w:rsidP="00FA6DA6"/>
    <w:p w:rsidR="004C4854" w:rsidRDefault="004C4854" w:rsidP="002C7E72"/>
    <w:p w:rsidR="007A47F2" w:rsidRDefault="007A47F2" w:rsidP="002C7E72"/>
    <w:p w:rsidR="002F4BD6" w:rsidRDefault="002F4BD6" w:rsidP="002F4BD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Long list of </w:t>
      </w:r>
      <w:r w:rsidRPr="008C3294">
        <w:rPr>
          <w:b/>
          <w:sz w:val="28"/>
          <w:szCs w:val="28"/>
        </w:rPr>
        <w:t>suggestions for 2016/17 scrutiny work plan</w:t>
      </w:r>
      <w:r>
        <w:rPr>
          <w:b/>
          <w:sz w:val="28"/>
          <w:szCs w:val="28"/>
        </w:rPr>
        <w:t xml:space="preserve"> </w:t>
      </w:r>
    </w:p>
    <w:p w:rsidR="002F4BD6" w:rsidRDefault="002F4BD6" w:rsidP="002F4BD6">
      <w:pPr>
        <w:rPr>
          <w:sz w:val="28"/>
          <w:szCs w:val="28"/>
        </w:rPr>
      </w:pPr>
    </w:p>
    <w:p w:rsidR="002F4BD6" w:rsidRDefault="002F4BD6" w:rsidP="002F4BD6">
      <w:pPr>
        <w:autoSpaceDE w:val="0"/>
        <w:autoSpaceDN w:val="0"/>
        <w:adjustRightInd w:val="0"/>
        <w:rPr>
          <w:rFonts w:ascii="TT14941o00" w:eastAsiaTheme="minorHAnsi" w:hAnsi="TT14941o00" w:cs="TT14941o00"/>
        </w:rPr>
      </w:pPr>
      <w:r>
        <w:rPr>
          <w:rFonts w:ascii="TT14941o00" w:eastAsiaTheme="minorHAnsi" w:hAnsi="TT14941o00" w:cs="TT14941o00"/>
        </w:rPr>
        <w:t>These are new suggestions that have been made by Councillors. When selecting and prioritising items for the scrutiny work plan, members are asked to apply the following criteria:</w:t>
      </w:r>
    </w:p>
    <w:p w:rsidR="002F4BD6" w:rsidRPr="00793FE0" w:rsidRDefault="002F4BD6" w:rsidP="002F4BD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Is the issue controversial / of significant public interest?</w:t>
      </w:r>
      <w:r>
        <w:rPr>
          <w:rFonts w:ascii="TT14945o00" w:eastAsiaTheme="minorHAnsi" w:hAnsi="TT14945o00" w:cs="TT14945o00"/>
          <w:i/>
        </w:rPr>
        <w:t xml:space="preserve"> (P)</w:t>
      </w:r>
    </w:p>
    <w:p w:rsidR="002F4BD6" w:rsidRPr="00793FE0" w:rsidRDefault="002F4BD6" w:rsidP="002F4BD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Is it an area of high expenditure?</w:t>
      </w:r>
      <w:r>
        <w:rPr>
          <w:rFonts w:ascii="TT14945o00" w:eastAsiaTheme="minorHAnsi" w:hAnsi="TT14945o00" w:cs="TT14945o00"/>
          <w:i/>
        </w:rPr>
        <w:t xml:space="preserve"> (F)</w:t>
      </w:r>
    </w:p>
    <w:p w:rsidR="002F4BD6" w:rsidRPr="00793FE0" w:rsidRDefault="002F4BD6" w:rsidP="002F4BD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Is it an essential service / corporate priority?</w:t>
      </w:r>
      <w:r>
        <w:rPr>
          <w:rFonts w:ascii="TT14945o00" w:eastAsiaTheme="minorHAnsi" w:hAnsi="TT14945o00" w:cs="TT14945o00"/>
          <w:i/>
        </w:rPr>
        <w:t xml:space="preserve"> (E)</w:t>
      </w:r>
    </w:p>
    <w:p w:rsidR="002F4BD6" w:rsidRPr="00793FE0" w:rsidRDefault="002F4BD6" w:rsidP="002F4BD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  <w:i/>
        </w:rPr>
      </w:pPr>
      <w:r w:rsidRPr="00793FE0">
        <w:rPr>
          <w:rFonts w:ascii="TT14941o00" w:eastAsiaTheme="minorHAnsi" w:hAnsi="TT14941o00" w:cs="TT14941o00"/>
          <w:i/>
        </w:rPr>
        <w:t xml:space="preserve">- </w:t>
      </w:r>
      <w:r w:rsidRPr="00793FE0">
        <w:rPr>
          <w:rFonts w:ascii="TT14945o00" w:eastAsiaTheme="minorHAnsi" w:hAnsi="TT14945o00" w:cs="TT14945o00"/>
          <w:i/>
        </w:rPr>
        <w:t>Can Scrutiny influence and add value?</w:t>
      </w:r>
      <w:r>
        <w:rPr>
          <w:rFonts w:ascii="TT14945o00" w:eastAsiaTheme="minorHAnsi" w:hAnsi="TT14945o00" w:cs="TT14945o00"/>
          <w:i/>
        </w:rPr>
        <w:t xml:space="preserve"> (I)</w:t>
      </w:r>
    </w:p>
    <w:p w:rsidR="002F4BD6" w:rsidRDefault="002F4BD6" w:rsidP="002F4BD6">
      <w:pPr>
        <w:autoSpaceDE w:val="0"/>
        <w:autoSpaceDN w:val="0"/>
        <w:adjustRightInd w:val="0"/>
        <w:rPr>
          <w:rFonts w:ascii="TT14945o00" w:eastAsiaTheme="minorHAnsi" w:hAnsi="TT14945o00" w:cs="TT14945o00"/>
        </w:rPr>
      </w:pPr>
    </w:p>
    <w:p w:rsidR="002F4BD6" w:rsidRDefault="002F4BD6" w:rsidP="002F4BD6">
      <w:pPr>
        <w:autoSpaceDE w:val="0"/>
        <w:autoSpaceDN w:val="0"/>
        <w:adjustRightInd w:val="0"/>
        <w:rPr>
          <w:rFonts w:ascii="TT14941o00" w:eastAsiaTheme="minorHAnsi" w:hAnsi="TT14941o00" w:cs="TT14941o00"/>
        </w:rPr>
      </w:pPr>
      <w:r>
        <w:rPr>
          <w:rFonts w:ascii="TT14941o00" w:eastAsiaTheme="minorHAnsi" w:hAnsi="TT14941o00" w:cs="TT14941o00"/>
        </w:rPr>
        <w:t>The Scrutiny Officer has provided some suggested scores against these items. Members may wish to review and re-prioritise these:</w:t>
      </w:r>
    </w:p>
    <w:p w:rsidR="002F4BD6" w:rsidRDefault="002F4BD6" w:rsidP="002F4BD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</w:rPr>
      </w:pPr>
      <w:r>
        <w:rPr>
          <w:rFonts w:ascii="TT14945o00" w:eastAsiaTheme="minorHAnsi" w:hAnsi="TT14945o00" w:cs="TT14945o00"/>
        </w:rPr>
        <w:t>2 = Yes / High</w:t>
      </w:r>
    </w:p>
    <w:p w:rsidR="002F4BD6" w:rsidRDefault="002F4BD6" w:rsidP="002F4BD6">
      <w:pPr>
        <w:autoSpaceDE w:val="0"/>
        <w:autoSpaceDN w:val="0"/>
        <w:adjustRightInd w:val="0"/>
        <w:ind w:left="720"/>
        <w:rPr>
          <w:rFonts w:ascii="TT14945o00" w:eastAsiaTheme="minorHAnsi" w:hAnsi="TT14945o00" w:cs="TT14945o00"/>
        </w:rPr>
      </w:pPr>
      <w:r>
        <w:rPr>
          <w:rFonts w:ascii="TT14945o00" w:eastAsiaTheme="minorHAnsi" w:hAnsi="TT14945o00" w:cs="TT14945o00"/>
        </w:rPr>
        <w:t>1 = Moderate / Some constraints</w:t>
      </w:r>
    </w:p>
    <w:p w:rsidR="002F4BD6" w:rsidRDefault="002F4BD6" w:rsidP="002F4BD6">
      <w:pPr>
        <w:ind w:left="720"/>
        <w:rPr>
          <w:rFonts w:ascii="TT14945o00" w:eastAsiaTheme="minorHAnsi" w:hAnsi="TT14945o00" w:cs="TT14945o00"/>
        </w:rPr>
      </w:pPr>
      <w:r>
        <w:rPr>
          <w:rFonts w:ascii="TT14945o00" w:eastAsiaTheme="minorHAnsi" w:hAnsi="TT14945o00" w:cs="TT14945o00"/>
        </w:rPr>
        <w:t>0 = None / Little</w:t>
      </w:r>
    </w:p>
    <w:p w:rsidR="00CE0AAF" w:rsidRDefault="00CE0AAF" w:rsidP="002F4BD6"/>
    <w:p w:rsidR="00CE0AAF" w:rsidRDefault="00CE0AAF" w:rsidP="002F4BD6"/>
    <w:p w:rsidR="002F4BD6" w:rsidRPr="00EE3253" w:rsidRDefault="002F4BD6" w:rsidP="002F4BD6">
      <w:pPr>
        <w:rPr>
          <w:b/>
        </w:rPr>
      </w:pPr>
      <w:r w:rsidRPr="00EE3253">
        <w:rPr>
          <w:b/>
        </w:rPr>
        <w:t>Items for Scrutiny Committee meetings</w:t>
      </w:r>
    </w:p>
    <w:p w:rsidR="002F4BD6" w:rsidRDefault="002F4BD6" w:rsidP="002F4BD6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433"/>
        <w:gridCol w:w="2930"/>
        <w:gridCol w:w="446"/>
        <w:gridCol w:w="419"/>
        <w:gridCol w:w="419"/>
        <w:gridCol w:w="415"/>
        <w:gridCol w:w="843"/>
        <w:gridCol w:w="1711"/>
      </w:tblGrid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Pr="00FD6EAE" w:rsidRDefault="002F4BD6" w:rsidP="00D41310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Pr="00FD6EAE" w:rsidRDefault="002F4BD6" w:rsidP="00D4131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Default="002F4BD6" w:rsidP="00D41310">
            <w:pPr>
              <w:rPr>
                <w:b/>
              </w:rPr>
            </w:pPr>
            <w:r>
              <w:rPr>
                <w:b/>
              </w:rPr>
              <w:t>Lead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Default="002F4BD6" w:rsidP="00D41310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Default="002F4BD6" w:rsidP="00D413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Default="002F4BD6" w:rsidP="00D41310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Default="002F4BD6" w:rsidP="00D4131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Default="002F4BD6" w:rsidP="00D4131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BD6" w:rsidRPr="00FD6EAE" w:rsidRDefault="002F4BD6" w:rsidP="00D41310">
            <w:pPr>
              <w:rPr>
                <w:b/>
              </w:rPr>
            </w:pPr>
            <w:r>
              <w:rPr>
                <w:b/>
              </w:rPr>
              <w:t>Suggested approach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Devolution plans for Oxfordshire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monitor the progress of devolution proposals for Oxfordshire.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Caroline Green, Assistant Chief Executive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  <w:r w:rsidR="00A237B5">
              <w:t xml:space="preserve"> / Review Group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Council Tax support scheme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spend and impacts of the Council’s discretionary Council Tax support scheme.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 xml:space="preserve">Tanya </w:t>
            </w:r>
            <w:proofErr w:type="spellStart"/>
            <w:r>
              <w:t>Bandekar</w:t>
            </w:r>
            <w:proofErr w:type="spellEnd"/>
            <w:r>
              <w:t>, Revenues and Benefits Service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A03FBA">
            <w:r>
              <w:t>Scrutiny</w:t>
            </w:r>
            <w:r w:rsidR="00A03FBA">
              <w:t xml:space="preserve"> / Finance Panel item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Discretionary Housing Payments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monitor Discretionary Housing Payments spend mid-way through the year</w:t>
            </w:r>
            <w:r w:rsidRPr="00101970"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Paul Wilding, Revenue &amp; Benefits Programme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Public Spaces Protection Orders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 xml:space="preserve">To monitor the impacts of PSPOs </w:t>
            </w:r>
            <w:r w:rsidR="00CE0AAF">
              <w:t>in the city</w:t>
            </w:r>
            <w:r>
              <w:t>, including the numbers and types of early interventions and enforcement actions.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Richard Adams, Community Safety and Resilience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</w:p>
        </w:tc>
      </w:tr>
      <w:tr w:rsidR="008B0690" w:rsidTr="003C0684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CE0AAF" w:rsidP="00CE0AAF">
            <w:r>
              <w:t>O</w:t>
            </w:r>
            <w:r w:rsidR="008B0690">
              <w:t>versight of HMO planning permissions</w:t>
            </w:r>
            <w:r w:rsidR="008B0690" w:rsidRPr="000C77FE">
              <w:tab/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CE0AAF">
            <w:r>
              <w:t>To consider member oversight of HMO planning decisions (currently delegated) including the n</w:t>
            </w:r>
            <w:r w:rsidRPr="000C77FE">
              <w:t>umber</w:t>
            </w:r>
            <w:r>
              <w:t>s</w:t>
            </w:r>
            <w:r w:rsidRPr="000C77FE">
              <w:t xml:space="preserve"> o</w:t>
            </w:r>
            <w:r>
              <w:t>f</w:t>
            </w:r>
            <w:r w:rsidR="00CE0AAF">
              <w:t xml:space="preserve"> rooms</w:t>
            </w:r>
            <w:r>
              <w:t xml:space="preserve"> HMOs in the street</w:t>
            </w:r>
            <w:r w:rsidR="00CE0AAF">
              <w:t xml:space="preserve"> etc.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9C57BF">
            <w:r>
              <w:t xml:space="preserve">Patsy Dell, </w:t>
            </w:r>
            <w:r w:rsidRPr="000C77FE">
              <w:t>Head of Planning and Regulatory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9C57BF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9C57BF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9C57BF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9C57BF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9C57BF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Pr="0017165C" w:rsidRDefault="008B0690" w:rsidP="009C57BF">
            <w:r>
              <w:t>Scrutiny item / consider in other items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CE0AAF" w:rsidP="00CE0AAF">
            <w:r>
              <w:lastRenderedPageBreak/>
              <w:t xml:space="preserve">Corporate </w:t>
            </w:r>
            <w:r w:rsidR="002F4BD6">
              <w:t xml:space="preserve">Performance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CE0AAF" w:rsidP="00CE0AAF">
            <w:r>
              <w:t>To monitor quarterly</w:t>
            </w:r>
            <w:r w:rsidR="002F4BD6" w:rsidRPr="000953EB">
              <w:t xml:space="preserve"> performance against a set of service measures chosen by the Committee.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N/A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Local Plan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2F4BD6" w:rsidP="00D41310">
            <w:r>
              <w:t>To consider one or more aspects of the Local Plan which is subject to review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Patsy Dell, Head of Planning and Regulatory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 xml:space="preserve">Scrutiny item 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Fusion Lifestyle performance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2F4BD6" w:rsidP="00D41310">
            <w:r>
              <w:t>To monitor an annual Fusion Lifestyle contract performance dashboard.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6E236B" w:rsidRDefault="002F4BD6" w:rsidP="00D41310">
            <w:r>
              <w:t>Ian Brooke, Head of Community Services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</w:p>
        </w:tc>
      </w:tr>
      <w:tr w:rsidR="00A237B5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Assessing disabled impacts in planning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Pr="00861D2D" w:rsidRDefault="00A237B5" w:rsidP="00AE0AC1">
            <w:r>
              <w:t>To consider how the Council fulfils its duty to assess the impacts</w:t>
            </w:r>
            <w:r w:rsidRPr="003A71DD">
              <w:t xml:space="preserve"> on disabled people of new development</w:t>
            </w:r>
            <w:r>
              <w:t>s</w:t>
            </w:r>
            <w:r w:rsidRPr="003A71DD">
              <w:t xml:space="preserve"> </w:t>
            </w:r>
            <w:r>
              <w:t>and</w:t>
            </w:r>
            <w:r w:rsidRPr="003A71DD">
              <w:t xml:space="preserve"> change</w:t>
            </w:r>
            <w:r>
              <w:t>s</w:t>
            </w:r>
            <w:r w:rsidRPr="003A71DD">
              <w:t xml:space="preserve"> of use,</w:t>
            </w:r>
            <w:r>
              <w:t xml:space="preserve"> including for businesses and private and social sector housing, </w:t>
            </w:r>
            <w:r w:rsidRPr="003A71DD">
              <w:t>and whether conditions are enforced</w:t>
            </w:r>
            <w: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Patsy Dell, Head of Planning and Regulatory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5" w:rsidRDefault="00A237B5" w:rsidP="00AE0AC1">
            <w:r>
              <w:t>Scrutiny item / Review Group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Cycling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how the Council can work better with the County Council to encourage cycling.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Mai Jarvis, Environmental Quality Team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A237B5" w:rsidP="00A237B5">
            <w:r>
              <w:t xml:space="preserve">Combine with </w:t>
            </w:r>
            <w:r w:rsidR="00CE0AAF">
              <w:t>cycling</w:t>
            </w:r>
            <w:r>
              <w:t xml:space="preserve"> </w:t>
            </w:r>
            <w:r w:rsidR="002F4BD6">
              <w:t>update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Graffiti prevention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the appreciative inquiry and focus group around graffiti and other initiatives to solve the issues long term.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Daryl Edmunds, Anti-social Behaviour Investigation Team Leader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</w:p>
        </w:tc>
      </w:tr>
      <w:tr w:rsidR="00D41310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D41310" w:rsidP="00D41310">
            <w:r>
              <w:t>Air quality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D41310" w:rsidP="00D41310">
            <w:r>
              <w:t xml:space="preserve">To consider ways </w:t>
            </w:r>
            <w:r w:rsidR="00924CEC">
              <w:t>of improving air quality in the worst areas (e.g. the city centre)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924CEC" w:rsidP="00D41310">
            <w:r>
              <w:t>Mai Jarvis, Environmental Quality Team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D41310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AD446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D41310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AD446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924CEC" w:rsidP="00D41310"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10" w:rsidRDefault="00D41310" w:rsidP="00D41310">
            <w:r>
              <w:t>Scrutiny item</w:t>
            </w:r>
          </w:p>
        </w:tc>
      </w:tr>
      <w:tr w:rsidR="003C0684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ICT update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To consider lessons learned and issues faced by elected members following the recent IT migration.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Paul Fleming, Chief Technology and Information Manager</w:t>
            </w:r>
          </w:p>
          <w:p w:rsidR="003C0684" w:rsidRDefault="003C0684" w:rsidP="00AE0AC1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Scrutiny item</w:t>
            </w:r>
          </w:p>
        </w:tc>
      </w:tr>
      <w:tr w:rsidR="003C0684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Design Review Panel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To consider the work and effectiveness of the Oxford Design Review Panel.</w:t>
            </w:r>
          </w:p>
          <w:p w:rsidR="003C0684" w:rsidRDefault="003C0684" w:rsidP="00AE0AC1"/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Sarah Harrison, Principle Planner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3C0684" w:rsidP="00AE0AC1">
            <w:r>
              <w:t>Scrutiny item</w:t>
            </w:r>
          </w:p>
        </w:tc>
      </w:tr>
      <w:tr w:rsidR="006671F4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Disabled Students’ Allowance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Pr="00861D2D" w:rsidRDefault="006671F4" w:rsidP="00AE0AC1">
            <w:r>
              <w:t>To consider the impacts of cuts to Disabled Students’ Allowance on disabled students in the City.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N/A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Default="006671F4" w:rsidP="00AE0AC1">
            <w:r>
              <w:t>Scrutiny item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 xml:space="preserve">Oxfordshire Growth Board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861D2D">
              <w:t>To monitor agendas and minutes published by the Board.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 xml:space="preserve">Paul Staines, </w:t>
            </w:r>
            <w:r w:rsidRPr="00101970">
              <w:t>Growth Board Programme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>Scrutiny item</w:t>
            </w:r>
            <w:r w:rsidR="00AD4466">
              <w:t xml:space="preserve"> / circulate paperwork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lastRenderedPageBreak/>
              <w:t>Health and Wellbeing Board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receive an update on</w:t>
            </w:r>
            <w:r w:rsidRPr="004545E9">
              <w:t xml:space="preserve"> the work of Oxfordshire Health and Wellbeing Board</w:t>
            </w:r>
            <w:r>
              <w:t xml:space="preserve"> by the Council’s representative on the Board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Andrew Brown, Scrutiny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3C0684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Scrutiny item</w:t>
            </w:r>
          </w:p>
        </w:tc>
      </w:tr>
      <w:tr w:rsidR="002F4BD6" w:rsidTr="003C0684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 xml:space="preserve">Health </w:t>
            </w:r>
            <w:r w:rsidR="00CE0AAF">
              <w:t>s</w:t>
            </w:r>
            <w:r>
              <w:t>crutiny update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>To receive an update</w:t>
            </w:r>
            <w:r w:rsidR="00CE0AAF">
              <w:t xml:space="preserve"> on health scrutiny activities from</w:t>
            </w:r>
            <w:r>
              <w:t xml:space="preserve"> the Council’s representative on Oxfordshire Joint Health Overview &amp; Scrutiny Committee (HOSC).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Andrew Brown, Scrutiny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Annual HOSC report to be circulated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Police and Crime Panel update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receive an update on police and crime scrutiny activities by the Council’s representative on Thames Valley Police and Crime Panel (PCP).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Andrew Brown, Scrutiny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3C0684" w:rsidP="003C0684">
            <w:r>
              <w:t xml:space="preserve">Scrutiny item / </w:t>
            </w:r>
            <w:r w:rsidR="002F4BD6">
              <w:t>annual PCP report</w:t>
            </w:r>
            <w:r>
              <w:t xml:space="preserve"> to be circulated</w:t>
            </w:r>
          </w:p>
        </w:tc>
      </w:tr>
      <w:tr w:rsidR="002F4BD6" w:rsidTr="003C068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307935">
            <w:r>
              <w:t>Workplace parking</w:t>
            </w:r>
            <w:r w:rsidR="00307935">
              <w:t xml:space="preserve"> levies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32C56">
            <w:r>
              <w:t>To consider t</w:t>
            </w:r>
            <w:r w:rsidRPr="002453D2">
              <w:t>he pros and cons of workplace parking charges</w:t>
            </w:r>
            <w:r w:rsidR="00D32C56">
              <w:t xml:space="preserve"> in Oxford</w:t>
            </w:r>
            <w: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N/A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D32C56" w:rsidP="00D41310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D32C56" w:rsidP="00D41310"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6671F4">
            <w:r>
              <w:t xml:space="preserve">Refer to County Council </w:t>
            </w:r>
          </w:p>
        </w:tc>
      </w:tr>
    </w:tbl>
    <w:p w:rsidR="002F4BD6" w:rsidRDefault="002F4BD6" w:rsidP="002F4BD6"/>
    <w:p w:rsidR="007A47F2" w:rsidRDefault="007A47F2" w:rsidP="002F4BD6"/>
    <w:p w:rsidR="002F4BD6" w:rsidRPr="00EE3253" w:rsidRDefault="004009EA" w:rsidP="002F4BD6">
      <w:pPr>
        <w:rPr>
          <w:b/>
        </w:rPr>
      </w:pPr>
      <w:r>
        <w:rPr>
          <w:b/>
        </w:rPr>
        <w:t>I</w:t>
      </w:r>
      <w:r w:rsidR="002F4BD6">
        <w:rPr>
          <w:b/>
        </w:rPr>
        <w:t>tems for Housing Panel meetings</w:t>
      </w:r>
    </w:p>
    <w:p w:rsidR="002F4BD6" w:rsidRDefault="002F4BD6" w:rsidP="002F4BD6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433"/>
        <w:gridCol w:w="2930"/>
        <w:gridCol w:w="446"/>
        <w:gridCol w:w="419"/>
        <w:gridCol w:w="419"/>
        <w:gridCol w:w="415"/>
        <w:gridCol w:w="843"/>
        <w:gridCol w:w="1711"/>
      </w:tblGrid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CE0AAF" w:rsidP="00CE0AAF">
            <w:r>
              <w:t>Housing p</w:t>
            </w:r>
            <w:r w:rsidR="002F4BD6">
              <w:t xml:space="preserve">erformance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2F4BD6" w:rsidP="00D41310">
            <w:r w:rsidRPr="000953EB">
              <w:t xml:space="preserve">Quarterly reports on Council performance against a set of </w:t>
            </w:r>
            <w:r>
              <w:t>selected housing</w:t>
            </w:r>
            <w:r w:rsidRPr="000953EB">
              <w:t xml:space="preserve"> measures.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N/A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Response to national policy changes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receive a briefing on the City Council’s responses to Government housing and welfare policy changes.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 xml:space="preserve">David Edwards, </w:t>
            </w:r>
            <w:r w:rsidRPr="0029621E">
              <w:t>Executive Director of Regeneration and Housing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7C5E2B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7C5E2B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7C5E2B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7C5E2B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7C5E2B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Homelessness prevention funding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2F4BD6" w:rsidP="00D41310">
            <w:r>
              <w:t>To receive an update on homelessness prevention funding from April 2017, including the expected impacts of County Council funding cuts and plans to mitigate these.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proofErr w:type="spellStart"/>
            <w:r>
              <w:t>Ossi</w:t>
            </w:r>
            <w:proofErr w:type="spellEnd"/>
            <w:r>
              <w:t xml:space="preserve"> Mosley, Rough Sleeping &amp; Single Homelessness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Rough Sleeping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how the Council</w:t>
            </w:r>
            <w:r w:rsidRPr="007C5E2B">
              <w:t xml:space="preserve"> deal</w:t>
            </w:r>
            <w:r>
              <w:t>s</w:t>
            </w:r>
            <w:r w:rsidRPr="007C5E2B">
              <w:t xml:space="preserve"> with rough-sleepers </w:t>
            </w:r>
            <w:r>
              <w:t>including</w:t>
            </w:r>
            <w:r w:rsidRPr="007C5E2B">
              <w:t xml:space="preserve"> those with no recourse to public funds</w:t>
            </w:r>
            <w: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proofErr w:type="spellStart"/>
            <w:r w:rsidRPr="007C5E2B">
              <w:t>Ossi</w:t>
            </w:r>
            <w:proofErr w:type="spellEnd"/>
            <w:r w:rsidRPr="007C5E2B">
              <w:t xml:space="preserve"> Mosley, Rough Sleeping &amp; Single Homelessness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03AB5" w:rsidP="00D41310">
            <w:r>
              <w:t xml:space="preserve">Scrutiny / </w:t>
            </w:r>
            <w:r w:rsidR="002F4BD6"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4" w:rsidRDefault="002F4BD6" w:rsidP="00F81021">
            <w:r>
              <w:t xml:space="preserve">Tower block refurbishment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F81021">
            <w:r>
              <w:t xml:space="preserve">To </w:t>
            </w:r>
            <w:r w:rsidR="006671F4">
              <w:t xml:space="preserve">receive a progress update and </w:t>
            </w:r>
            <w:r>
              <w:t>consider lessons learned following the increase in the budget for the tower block refurb</w:t>
            </w:r>
            <w:r w:rsidR="006671F4">
              <w:t>ishment project</w:t>
            </w:r>
            <w: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F81021" w:rsidP="00F81021">
            <w:r>
              <w:t xml:space="preserve">Stephen Clarke, Head of Housing &amp; Property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lastRenderedPageBreak/>
              <w:t>Great Estates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receive an update on progress made in developing masterplans for estates and working up and delivering a rolling programme of priority improvement schemes.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Martin Shaw, Property Services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C4788F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C4788F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C4788F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C4788F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C4788F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A Housing Company for Oxford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monitor progress of the Housing Company for Oxford in its first year of operation.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 xml:space="preserve">David Edwards, Executive </w:t>
            </w:r>
            <w:r w:rsidR="00CE0AAF">
              <w:t>Director of Regeneration &amp;</w:t>
            </w:r>
            <w:r>
              <w:t xml:space="preserve"> Housing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Rents performance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monitor the Council’s rents performance including current and former tenant arrears.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C4788F">
              <w:t xml:space="preserve">Tanya </w:t>
            </w:r>
            <w:proofErr w:type="spellStart"/>
            <w:r>
              <w:t>Bandekar</w:t>
            </w:r>
            <w:proofErr w:type="spellEnd"/>
            <w:r>
              <w:t xml:space="preserve">, Revenue &amp; Benefits Service </w:t>
            </w:r>
            <w:r w:rsidRPr="00C4788F">
              <w:t>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Empty Property Strategy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To consider a refresh of the Empty Property Strategy 2013-18, including the numbers of empty homes, rates of under-use of second homes and policies to discourage under-use.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 xml:space="preserve">Mel </w:t>
            </w:r>
            <w:proofErr w:type="spellStart"/>
            <w:r>
              <w:t>Mutch</w:t>
            </w:r>
            <w:proofErr w:type="spellEnd"/>
            <w:r>
              <w:t xml:space="preserve">, </w:t>
            </w:r>
            <w:r w:rsidRPr="006E236B">
              <w:t>Empty Residential Property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147EE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Tenant satisfaction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 xml:space="preserve">To monitor tenant satisfaction survey results.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101970">
              <w:t>Bill Graves, Landlord Services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F81021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E456A9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1147EE">
              <w:t>Leaseholder relationships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1147EE">
              <w:t>To consider Council relationships with leaseholders including the views of individual leaseholders.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 w:rsidRPr="001147EE">
              <w:t>Bill Graves, Landlord Services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4F6DF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4F6DF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4F6DF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4F6DF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4F6DF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Energy Strategy – Housing &amp; Property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past, current and future work around energy in Housing, and Housing &amp; Property’s approach to Energy and fuel poverty in its own domestic housing stock.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Deborah Haynes, Energy Efficiency Projects Officer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Service charges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</w:t>
            </w:r>
            <w:r w:rsidRPr="004F6DF6">
              <w:t>o consider the scope for raising service charges on Council housing to mitigate reduced rental income.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Stephen Clarke, Head of Housing &amp; Property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 xml:space="preserve">Under-occupation in </w:t>
            </w:r>
            <w:r w:rsidR="00CE0AAF">
              <w:t>Council</w:t>
            </w:r>
            <w:r>
              <w:t xml:space="preserve"> housing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CE0AAF">
            <w:r>
              <w:t xml:space="preserve">To receive an update on the levels of under-occupation in the Council’s housing stock and </w:t>
            </w:r>
            <w:r w:rsidR="00CE0AAF">
              <w:t>measures to reduce under-occupation.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Bill Graves, Landlord Services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Choice Based Lettings refusal reasons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4009EA">
            <w:r>
              <w:t>To receive a briefing on reasons given by applicants for refusing properties</w:t>
            </w:r>
            <w:r w:rsidR="004009EA">
              <w:t>, including</w:t>
            </w:r>
            <w:r>
              <w:t xml:space="preserve"> requests for minor adaptions.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Tom Porter, Allocations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Housing Panel item</w:t>
            </w:r>
          </w:p>
        </w:tc>
      </w:tr>
    </w:tbl>
    <w:p w:rsidR="00CE0AAF" w:rsidRDefault="00CE0AAF" w:rsidP="002F4BD6"/>
    <w:p w:rsidR="003C0684" w:rsidRDefault="003C0684" w:rsidP="002F4BD6"/>
    <w:p w:rsidR="002F4BD6" w:rsidRPr="0029621E" w:rsidRDefault="002F4BD6" w:rsidP="002F4BD6">
      <w:pPr>
        <w:rPr>
          <w:b/>
        </w:rPr>
      </w:pPr>
      <w:r>
        <w:rPr>
          <w:b/>
        </w:rPr>
        <w:lastRenderedPageBreak/>
        <w:t>Items for Finance Panel meetings</w:t>
      </w:r>
    </w:p>
    <w:p w:rsidR="002F4BD6" w:rsidRDefault="002F4BD6" w:rsidP="002F4BD6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433"/>
        <w:gridCol w:w="2930"/>
        <w:gridCol w:w="446"/>
        <w:gridCol w:w="419"/>
        <w:gridCol w:w="419"/>
        <w:gridCol w:w="415"/>
        <w:gridCol w:w="843"/>
        <w:gridCol w:w="1711"/>
      </w:tblGrid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D949B8" w:rsidRDefault="002F4BD6" w:rsidP="00D41310">
            <w:r w:rsidRPr="00D949B8">
              <w:t>Credit Union Services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the Council’s response to the Evaluation of Credit Union services in Oxford report.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Paul Wilding, Revenue &amp; Benefits Programme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D949B8" w:rsidRDefault="002F4BD6" w:rsidP="00D41310">
            <w:r w:rsidRPr="0029621E">
              <w:t>Finance Panel item</w:t>
            </w:r>
          </w:p>
        </w:tc>
      </w:tr>
      <w:tr w:rsidR="002F4BD6" w:rsidRPr="00D949B8" w:rsidTr="00CE0AAF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D949B8" w:rsidRDefault="002F4BD6" w:rsidP="00D41310">
            <w:r>
              <w:t>Capital Strategy 2017-18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the Council’s Capital Strategy for 2017-18.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 w:rsidRPr="00101970">
              <w:t>Nigel Kennedy, Head of Financial Services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Forward Plan item</w:t>
            </w:r>
          </w:p>
        </w:tc>
      </w:tr>
      <w:tr w:rsidR="00F81021" w:rsidRPr="00D949B8" w:rsidTr="00CE0AAF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Budget monitoring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To monitor the Council’s finances at the end of each quarter.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 w:rsidRPr="00101970">
              <w:t>Nigel Kennedy, Head of Financial Services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Finance Panel item</w:t>
            </w:r>
          </w:p>
        </w:tc>
      </w:tr>
      <w:tr w:rsidR="00F81021" w:rsidRPr="00D949B8" w:rsidTr="00CE0AAF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 xml:space="preserve">Gross budgeting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>
              <w:t>To consider external income and gross budgeting year-round.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 w:rsidRPr="004F6DF6">
              <w:t>Nigel Kennedy, Head of Financial Services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Pr="00101970" w:rsidRDefault="00F81021" w:rsidP="00AE0AC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Pr="00101970" w:rsidRDefault="00F81021" w:rsidP="00AE0AC1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Pr="00101970" w:rsidRDefault="00F81021" w:rsidP="00AE0AC1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Pr="00101970" w:rsidRDefault="00F81021" w:rsidP="00AE0AC1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Pr="00101970" w:rsidRDefault="00F81021" w:rsidP="00AE0AC1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1" w:rsidRDefault="00F81021" w:rsidP="00AE0AC1">
            <w:r w:rsidRPr="0029621E">
              <w:t>Finance Panel item</w:t>
            </w:r>
          </w:p>
        </w:tc>
      </w:tr>
      <w:tr w:rsidR="002F4BD6" w:rsidRPr="00D949B8" w:rsidTr="00CE0AAF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D949B8" w:rsidRDefault="002F4BD6" w:rsidP="00D41310">
            <w:r>
              <w:t>Capital controls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 an</w:t>
            </w:r>
            <w:r w:rsidRPr="00396126">
              <w:t xml:space="preserve"> update on the capital gateway process and the scope for better capital planning.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David Edwards, Executive Director, Regeneration &amp; Housing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D949B8" w:rsidRDefault="002F4BD6" w:rsidP="00D41310">
            <w:r>
              <w:t>Finance Panel item</w:t>
            </w:r>
          </w:p>
        </w:tc>
      </w:tr>
      <w:tr w:rsidR="002F4BD6" w:rsidTr="00CE0AA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Treasury Management Strategy 2017-18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To consider</w:t>
            </w:r>
            <w:r w:rsidRPr="00FB0C24">
              <w:t xml:space="preserve"> the Treasury Management Strategy </w:t>
            </w:r>
            <w:r>
              <w:t xml:space="preserve">2017-18 </w:t>
            </w:r>
            <w:r w:rsidRPr="00FB0C24">
              <w:t xml:space="preserve">and </w:t>
            </w:r>
            <w:r>
              <w:t xml:space="preserve">monitor </w:t>
            </w:r>
            <w:r w:rsidRPr="00FB0C24">
              <w:t>Treasury performance.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Pr="00101970" w:rsidRDefault="002F4BD6" w:rsidP="00D41310">
            <w:r>
              <w:t xml:space="preserve">Anna </w:t>
            </w:r>
            <w:proofErr w:type="spellStart"/>
            <w:r>
              <w:t>Winship</w:t>
            </w:r>
            <w:proofErr w:type="spellEnd"/>
            <w:r>
              <w:t>, Management Accountancy Manager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6" w:rsidRDefault="002F4BD6" w:rsidP="00D41310">
            <w:r w:rsidRPr="0029621E">
              <w:t>Forward Plan item</w:t>
            </w:r>
          </w:p>
        </w:tc>
      </w:tr>
    </w:tbl>
    <w:p w:rsidR="002F4BD6" w:rsidRPr="008A22C6" w:rsidRDefault="002F4BD6" w:rsidP="002F4BD6"/>
    <w:p w:rsidR="00347139" w:rsidRDefault="00347139" w:rsidP="001060DB"/>
    <w:p w:rsidR="002F4BD6" w:rsidRDefault="002F4BD6" w:rsidP="001060DB"/>
    <w:sectPr w:rsidR="002F4BD6" w:rsidSect="000E652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C1" w:rsidRDefault="00AE0AC1" w:rsidP="004C40F1">
      <w:r>
        <w:separator/>
      </w:r>
    </w:p>
  </w:endnote>
  <w:endnote w:type="continuationSeparator" w:id="0">
    <w:p w:rsidR="00AE0AC1" w:rsidRDefault="00AE0AC1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94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94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C1" w:rsidRDefault="00AE0AC1" w:rsidP="004C40F1">
      <w:r>
        <w:separator/>
      </w:r>
    </w:p>
  </w:footnote>
  <w:footnote w:type="continuationSeparator" w:id="0">
    <w:p w:rsidR="00AE0AC1" w:rsidRDefault="00AE0AC1" w:rsidP="004C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9487A"/>
    <w:multiLevelType w:val="hybridMultilevel"/>
    <w:tmpl w:val="664A8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99E"/>
    <w:multiLevelType w:val="hybridMultilevel"/>
    <w:tmpl w:val="C390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4961"/>
    <w:multiLevelType w:val="hybridMultilevel"/>
    <w:tmpl w:val="ACC0D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047ED"/>
    <w:multiLevelType w:val="hybridMultilevel"/>
    <w:tmpl w:val="436C0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E2F3A"/>
    <w:multiLevelType w:val="hybridMultilevel"/>
    <w:tmpl w:val="8E7E1DC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453B"/>
    <w:multiLevelType w:val="hybridMultilevel"/>
    <w:tmpl w:val="626C5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D3B78"/>
    <w:multiLevelType w:val="hybridMultilevel"/>
    <w:tmpl w:val="557CF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D1742"/>
    <w:multiLevelType w:val="hybridMultilevel"/>
    <w:tmpl w:val="C36EE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01153"/>
    <w:multiLevelType w:val="hybridMultilevel"/>
    <w:tmpl w:val="7E44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14D3"/>
    <w:rsid w:val="00002956"/>
    <w:rsid w:val="000038F3"/>
    <w:rsid w:val="00010214"/>
    <w:rsid w:val="00011CF9"/>
    <w:rsid w:val="00015C12"/>
    <w:rsid w:val="0002326C"/>
    <w:rsid w:val="000267F0"/>
    <w:rsid w:val="000303E4"/>
    <w:rsid w:val="000331AB"/>
    <w:rsid w:val="00037EC4"/>
    <w:rsid w:val="000401A4"/>
    <w:rsid w:val="00047E97"/>
    <w:rsid w:val="00070688"/>
    <w:rsid w:val="00071505"/>
    <w:rsid w:val="00082779"/>
    <w:rsid w:val="00085800"/>
    <w:rsid w:val="00087CBD"/>
    <w:rsid w:val="000952DF"/>
    <w:rsid w:val="000953EB"/>
    <w:rsid w:val="0009658B"/>
    <w:rsid w:val="00097A70"/>
    <w:rsid w:val="000A5E80"/>
    <w:rsid w:val="000A6EFD"/>
    <w:rsid w:val="000A7DF4"/>
    <w:rsid w:val="000B1D18"/>
    <w:rsid w:val="000B4310"/>
    <w:rsid w:val="000B5FD7"/>
    <w:rsid w:val="000C0BD8"/>
    <w:rsid w:val="000C15D9"/>
    <w:rsid w:val="000C24DE"/>
    <w:rsid w:val="000C5027"/>
    <w:rsid w:val="000C6E76"/>
    <w:rsid w:val="000C77FE"/>
    <w:rsid w:val="000C7B45"/>
    <w:rsid w:val="000D2BDE"/>
    <w:rsid w:val="000D7676"/>
    <w:rsid w:val="000E53FB"/>
    <w:rsid w:val="000E6526"/>
    <w:rsid w:val="000F1E27"/>
    <w:rsid w:val="000F5D01"/>
    <w:rsid w:val="000F641B"/>
    <w:rsid w:val="00101970"/>
    <w:rsid w:val="001060DB"/>
    <w:rsid w:val="00107F91"/>
    <w:rsid w:val="00120DA3"/>
    <w:rsid w:val="00135953"/>
    <w:rsid w:val="00135ACD"/>
    <w:rsid w:val="001370D1"/>
    <w:rsid w:val="0014291B"/>
    <w:rsid w:val="00143934"/>
    <w:rsid w:val="00145F88"/>
    <w:rsid w:val="00151C5F"/>
    <w:rsid w:val="00154813"/>
    <w:rsid w:val="00154973"/>
    <w:rsid w:val="001602A4"/>
    <w:rsid w:val="00161740"/>
    <w:rsid w:val="00170470"/>
    <w:rsid w:val="0017221F"/>
    <w:rsid w:val="00174AD1"/>
    <w:rsid w:val="001764C2"/>
    <w:rsid w:val="00190398"/>
    <w:rsid w:val="00197B82"/>
    <w:rsid w:val="001A1EAE"/>
    <w:rsid w:val="001A20B0"/>
    <w:rsid w:val="001A467D"/>
    <w:rsid w:val="001A6F75"/>
    <w:rsid w:val="001A7EF3"/>
    <w:rsid w:val="001B0C32"/>
    <w:rsid w:val="001C17D3"/>
    <w:rsid w:val="001C1C65"/>
    <w:rsid w:val="001C24FA"/>
    <w:rsid w:val="001C257C"/>
    <w:rsid w:val="001C74AC"/>
    <w:rsid w:val="001D208B"/>
    <w:rsid w:val="001D4ED5"/>
    <w:rsid w:val="001D6600"/>
    <w:rsid w:val="001E0BDA"/>
    <w:rsid w:val="001F00A2"/>
    <w:rsid w:val="001F08C7"/>
    <w:rsid w:val="001F339D"/>
    <w:rsid w:val="001F5CB8"/>
    <w:rsid w:val="00203902"/>
    <w:rsid w:val="00203AB5"/>
    <w:rsid w:val="00215AB6"/>
    <w:rsid w:val="002176F1"/>
    <w:rsid w:val="00221F5D"/>
    <w:rsid w:val="002339EE"/>
    <w:rsid w:val="00234AD6"/>
    <w:rsid w:val="00235B17"/>
    <w:rsid w:val="002453D2"/>
    <w:rsid w:val="00252927"/>
    <w:rsid w:val="00253469"/>
    <w:rsid w:val="002559A1"/>
    <w:rsid w:val="00267746"/>
    <w:rsid w:val="00271563"/>
    <w:rsid w:val="00273323"/>
    <w:rsid w:val="00273E0F"/>
    <w:rsid w:val="00274A99"/>
    <w:rsid w:val="002751AE"/>
    <w:rsid w:val="002905C5"/>
    <w:rsid w:val="00292D31"/>
    <w:rsid w:val="002A0459"/>
    <w:rsid w:val="002A114F"/>
    <w:rsid w:val="002A394C"/>
    <w:rsid w:val="002A7FA2"/>
    <w:rsid w:val="002B6F5B"/>
    <w:rsid w:val="002B76E6"/>
    <w:rsid w:val="002C1C9E"/>
    <w:rsid w:val="002C2734"/>
    <w:rsid w:val="002C7E72"/>
    <w:rsid w:val="002D2C64"/>
    <w:rsid w:val="002E1349"/>
    <w:rsid w:val="002E6C91"/>
    <w:rsid w:val="002F286A"/>
    <w:rsid w:val="002F4BD6"/>
    <w:rsid w:val="002F59CB"/>
    <w:rsid w:val="002F6B18"/>
    <w:rsid w:val="002F6D60"/>
    <w:rsid w:val="002F793E"/>
    <w:rsid w:val="002F7B50"/>
    <w:rsid w:val="00307935"/>
    <w:rsid w:val="0031334D"/>
    <w:rsid w:val="00313F34"/>
    <w:rsid w:val="00323774"/>
    <w:rsid w:val="00325C55"/>
    <w:rsid w:val="003366AC"/>
    <w:rsid w:val="00347139"/>
    <w:rsid w:val="003512F6"/>
    <w:rsid w:val="003526D9"/>
    <w:rsid w:val="00354244"/>
    <w:rsid w:val="00356AEE"/>
    <w:rsid w:val="00357762"/>
    <w:rsid w:val="00364BA7"/>
    <w:rsid w:val="00365B64"/>
    <w:rsid w:val="003763BA"/>
    <w:rsid w:val="00381944"/>
    <w:rsid w:val="003849DB"/>
    <w:rsid w:val="00390BF1"/>
    <w:rsid w:val="00396126"/>
    <w:rsid w:val="0039658C"/>
    <w:rsid w:val="003A20C3"/>
    <w:rsid w:val="003A71DD"/>
    <w:rsid w:val="003B0E7C"/>
    <w:rsid w:val="003B2CB3"/>
    <w:rsid w:val="003B3F14"/>
    <w:rsid w:val="003C0684"/>
    <w:rsid w:val="003C1123"/>
    <w:rsid w:val="003C408C"/>
    <w:rsid w:val="003C626C"/>
    <w:rsid w:val="003D2FA0"/>
    <w:rsid w:val="003D32A5"/>
    <w:rsid w:val="003D5DE8"/>
    <w:rsid w:val="003D6364"/>
    <w:rsid w:val="003E0974"/>
    <w:rsid w:val="003E21F7"/>
    <w:rsid w:val="003F5E34"/>
    <w:rsid w:val="003F66E2"/>
    <w:rsid w:val="004000D7"/>
    <w:rsid w:val="004009EA"/>
    <w:rsid w:val="004031CD"/>
    <w:rsid w:val="00407913"/>
    <w:rsid w:val="00410F90"/>
    <w:rsid w:val="004110FF"/>
    <w:rsid w:val="00411CA5"/>
    <w:rsid w:val="00415DD7"/>
    <w:rsid w:val="004171C8"/>
    <w:rsid w:val="004173F0"/>
    <w:rsid w:val="00426406"/>
    <w:rsid w:val="00432658"/>
    <w:rsid w:val="004339CA"/>
    <w:rsid w:val="0043591D"/>
    <w:rsid w:val="00436840"/>
    <w:rsid w:val="00436D03"/>
    <w:rsid w:val="00437714"/>
    <w:rsid w:val="00443047"/>
    <w:rsid w:val="0044715F"/>
    <w:rsid w:val="004514AE"/>
    <w:rsid w:val="004545E9"/>
    <w:rsid w:val="00461AD8"/>
    <w:rsid w:val="004651DA"/>
    <w:rsid w:val="00470BAF"/>
    <w:rsid w:val="004800FD"/>
    <w:rsid w:val="004829E0"/>
    <w:rsid w:val="0048450F"/>
    <w:rsid w:val="004859B5"/>
    <w:rsid w:val="0048714B"/>
    <w:rsid w:val="00497B40"/>
    <w:rsid w:val="004B4854"/>
    <w:rsid w:val="004B4C42"/>
    <w:rsid w:val="004B506D"/>
    <w:rsid w:val="004C40F1"/>
    <w:rsid w:val="004C4854"/>
    <w:rsid w:val="004D08A3"/>
    <w:rsid w:val="004E5FFC"/>
    <w:rsid w:val="004E63BB"/>
    <w:rsid w:val="004F1057"/>
    <w:rsid w:val="004F16C3"/>
    <w:rsid w:val="004F236D"/>
    <w:rsid w:val="004F6DF6"/>
    <w:rsid w:val="00504E43"/>
    <w:rsid w:val="0050677B"/>
    <w:rsid w:val="00506D81"/>
    <w:rsid w:val="005238EF"/>
    <w:rsid w:val="005308D5"/>
    <w:rsid w:val="005330AA"/>
    <w:rsid w:val="00542C1B"/>
    <w:rsid w:val="005533B9"/>
    <w:rsid w:val="00562FAE"/>
    <w:rsid w:val="005679C6"/>
    <w:rsid w:val="00572C54"/>
    <w:rsid w:val="00573444"/>
    <w:rsid w:val="005735B0"/>
    <w:rsid w:val="005739D6"/>
    <w:rsid w:val="00576995"/>
    <w:rsid w:val="005807CB"/>
    <w:rsid w:val="00584167"/>
    <w:rsid w:val="00592A16"/>
    <w:rsid w:val="005A1957"/>
    <w:rsid w:val="005A41A3"/>
    <w:rsid w:val="005B1421"/>
    <w:rsid w:val="005B31C9"/>
    <w:rsid w:val="005C6803"/>
    <w:rsid w:val="005C6C2E"/>
    <w:rsid w:val="005D0D49"/>
    <w:rsid w:val="005D3264"/>
    <w:rsid w:val="005D5DA4"/>
    <w:rsid w:val="005D7951"/>
    <w:rsid w:val="005E1293"/>
    <w:rsid w:val="005E50B7"/>
    <w:rsid w:val="005E7155"/>
    <w:rsid w:val="005E767F"/>
    <w:rsid w:val="005F36AC"/>
    <w:rsid w:val="006130D4"/>
    <w:rsid w:val="006137AC"/>
    <w:rsid w:val="00621EB7"/>
    <w:rsid w:val="0062387E"/>
    <w:rsid w:val="006243C2"/>
    <w:rsid w:val="0063001F"/>
    <w:rsid w:val="00634A5E"/>
    <w:rsid w:val="00652D37"/>
    <w:rsid w:val="0065337D"/>
    <w:rsid w:val="006544FC"/>
    <w:rsid w:val="006630B0"/>
    <w:rsid w:val="006671F4"/>
    <w:rsid w:val="00670832"/>
    <w:rsid w:val="00672A56"/>
    <w:rsid w:val="00693B68"/>
    <w:rsid w:val="00694A9B"/>
    <w:rsid w:val="006A7428"/>
    <w:rsid w:val="006B013E"/>
    <w:rsid w:val="006B77A0"/>
    <w:rsid w:val="006D6356"/>
    <w:rsid w:val="006E236B"/>
    <w:rsid w:val="006F3D67"/>
    <w:rsid w:val="006F3E72"/>
    <w:rsid w:val="006F4997"/>
    <w:rsid w:val="007075F6"/>
    <w:rsid w:val="00727552"/>
    <w:rsid w:val="007349DC"/>
    <w:rsid w:val="0075673F"/>
    <w:rsid w:val="00762613"/>
    <w:rsid w:val="007629C6"/>
    <w:rsid w:val="00763E2F"/>
    <w:rsid w:val="0076409E"/>
    <w:rsid w:val="00764847"/>
    <w:rsid w:val="00765F49"/>
    <w:rsid w:val="0076730D"/>
    <w:rsid w:val="007711CF"/>
    <w:rsid w:val="0078064D"/>
    <w:rsid w:val="0078220C"/>
    <w:rsid w:val="00785D6A"/>
    <w:rsid w:val="007908F4"/>
    <w:rsid w:val="007A29FA"/>
    <w:rsid w:val="007A47F2"/>
    <w:rsid w:val="007A6007"/>
    <w:rsid w:val="007B0C35"/>
    <w:rsid w:val="007B2C63"/>
    <w:rsid w:val="007C35D2"/>
    <w:rsid w:val="007C3AC7"/>
    <w:rsid w:val="007C50EA"/>
    <w:rsid w:val="007C5E2B"/>
    <w:rsid w:val="007D27DB"/>
    <w:rsid w:val="007D33D9"/>
    <w:rsid w:val="007D4837"/>
    <w:rsid w:val="007D6973"/>
    <w:rsid w:val="007E5368"/>
    <w:rsid w:val="007E5AD7"/>
    <w:rsid w:val="007E7ECB"/>
    <w:rsid w:val="007F6E37"/>
    <w:rsid w:val="007F75C1"/>
    <w:rsid w:val="007F7C7E"/>
    <w:rsid w:val="0080389D"/>
    <w:rsid w:val="008073A6"/>
    <w:rsid w:val="008124C8"/>
    <w:rsid w:val="00813E87"/>
    <w:rsid w:val="00815638"/>
    <w:rsid w:val="008161DB"/>
    <w:rsid w:val="008176EF"/>
    <w:rsid w:val="00817BB1"/>
    <w:rsid w:val="00820934"/>
    <w:rsid w:val="008374AF"/>
    <w:rsid w:val="008408AF"/>
    <w:rsid w:val="00861D2D"/>
    <w:rsid w:val="0086581D"/>
    <w:rsid w:val="00870AF7"/>
    <w:rsid w:val="00892B5B"/>
    <w:rsid w:val="00894B12"/>
    <w:rsid w:val="008A22C6"/>
    <w:rsid w:val="008B0690"/>
    <w:rsid w:val="008B0D44"/>
    <w:rsid w:val="008B43B3"/>
    <w:rsid w:val="008C3294"/>
    <w:rsid w:val="008C4A16"/>
    <w:rsid w:val="008C5344"/>
    <w:rsid w:val="008D14D8"/>
    <w:rsid w:val="008E46BC"/>
    <w:rsid w:val="008E51F5"/>
    <w:rsid w:val="008E528D"/>
    <w:rsid w:val="008E6117"/>
    <w:rsid w:val="008E7769"/>
    <w:rsid w:val="008E7B3F"/>
    <w:rsid w:val="008F492E"/>
    <w:rsid w:val="008F5466"/>
    <w:rsid w:val="008F7643"/>
    <w:rsid w:val="009008D5"/>
    <w:rsid w:val="00911AE5"/>
    <w:rsid w:val="00911D3F"/>
    <w:rsid w:val="0091262D"/>
    <w:rsid w:val="00912D13"/>
    <w:rsid w:val="00924CEC"/>
    <w:rsid w:val="0093292C"/>
    <w:rsid w:val="009364F3"/>
    <w:rsid w:val="009400D6"/>
    <w:rsid w:val="00941591"/>
    <w:rsid w:val="00941EC8"/>
    <w:rsid w:val="00943994"/>
    <w:rsid w:val="00945B13"/>
    <w:rsid w:val="0094732D"/>
    <w:rsid w:val="00956D30"/>
    <w:rsid w:val="0096026F"/>
    <w:rsid w:val="00963A21"/>
    <w:rsid w:val="00965669"/>
    <w:rsid w:val="00971A64"/>
    <w:rsid w:val="00972E07"/>
    <w:rsid w:val="00996BA9"/>
    <w:rsid w:val="009A0992"/>
    <w:rsid w:val="009A6305"/>
    <w:rsid w:val="009B02ED"/>
    <w:rsid w:val="009B15D3"/>
    <w:rsid w:val="009B16D6"/>
    <w:rsid w:val="009B4D6D"/>
    <w:rsid w:val="009B66EC"/>
    <w:rsid w:val="009C0CEC"/>
    <w:rsid w:val="009C1E3C"/>
    <w:rsid w:val="009C4AC6"/>
    <w:rsid w:val="009C57BF"/>
    <w:rsid w:val="009C6E24"/>
    <w:rsid w:val="009C7F67"/>
    <w:rsid w:val="009D280D"/>
    <w:rsid w:val="009D45B6"/>
    <w:rsid w:val="009D7D38"/>
    <w:rsid w:val="009E4509"/>
    <w:rsid w:val="009E5519"/>
    <w:rsid w:val="009E69B3"/>
    <w:rsid w:val="009F347B"/>
    <w:rsid w:val="009F5FDE"/>
    <w:rsid w:val="00A03FBA"/>
    <w:rsid w:val="00A07DB5"/>
    <w:rsid w:val="00A102EF"/>
    <w:rsid w:val="00A138BE"/>
    <w:rsid w:val="00A16AC3"/>
    <w:rsid w:val="00A2113A"/>
    <w:rsid w:val="00A2204F"/>
    <w:rsid w:val="00A237B5"/>
    <w:rsid w:val="00A30AFA"/>
    <w:rsid w:val="00A32446"/>
    <w:rsid w:val="00A33AE9"/>
    <w:rsid w:val="00A341CE"/>
    <w:rsid w:val="00A35428"/>
    <w:rsid w:val="00A3591C"/>
    <w:rsid w:val="00A37805"/>
    <w:rsid w:val="00A40936"/>
    <w:rsid w:val="00A40B0E"/>
    <w:rsid w:val="00A6387E"/>
    <w:rsid w:val="00A7195E"/>
    <w:rsid w:val="00A71E5F"/>
    <w:rsid w:val="00A7562A"/>
    <w:rsid w:val="00A75C9A"/>
    <w:rsid w:val="00A82DC9"/>
    <w:rsid w:val="00A91AB2"/>
    <w:rsid w:val="00A96BCA"/>
    <w:rsid w:val="00AA7568"/>
    <w:rsid w:val="00AB57E2"/>
    <w:rsid w:val="00AB7340"/>
    <w:rsid w:val="00AC1202"/>
    <w:rsid w:val="00AD163C"/>
    <w:rsid w:val="00AD4466"/>
    <w:rsid w:val="00AE0AC1"/>
    <w:rsid w:val="00AF399B"/>
    <w:rsid w:val="00AF563F"/>
    <w:rsid w:val="00B03D08"/>
    <w:rsid w:val="00B044D1"/>
    <w:rsid w:val="00B10F0D"/>
    <w:rsid w:val="00B13DD4"/>
    <w:rsid w:val="00B177E0"/>
    <w:rsid w:val="00B20026"/>
    <w:rsid w:val="00B230F2"/>
    <w:rsid w:val="00B3196B"/>
    <w:rsid w:val="00B36B57"/>
    <w:rsid w:val="00B36FD4"/>
    <w:rsid w:val="00B42F7D"/>
    <w:rsid w:val="00B529F9"/>
    <w:rsid w:val="00B54E95"/>
    <w:rsid w:val="00B55559"/>
    <w:rsid w:val="00B650BD"/>
    <w:rsid w:val="00B65AE5"/>
    <w:rsid w:val="00B76E9D"/>
    <w:rsid w:val="00B915B3"/>
    <w:rsid w:val="00BB1E46"/>
    <w:rsid w:val="00BB3113"/>
    <w:rsid w:val="00BB379E"/>
    <w:rsid w:val="00BB51D2"/>
    <w:rsid w:val="00BB684C"/>
    <w:rsid w:val="00BB7785"/>
    <w:rsid w:val="00BC24CD"/>
    <w:rsid w:val="00BC6182"/>
    <w:rsid w:val="00BD17B6"/>
    <w:rsid w:val="00BE5093"/>
    <w:rsid w:val="00BE5CCE"/>
    <w:rsid w:val="00BE7D60"/>
    <w:rsid w:val="00BF0285"/>
    <w:rsid w:val="00BF103B"/>
    <w:rsid w:val="00BF5E13"/>
    <w:rsid w:val="00C00667"/>
    <w:rsid w:val="00C00F05"/>
    <w:rsid w:val="00C03677"/>
    <w:rsid w:val="00C03EEF"/>
    <w:rsid w:val="00C04A2E"/>
    <w:rsid w:val="00C07CD0"/>
    <w:rsid w:val="00C07F80"/>
    <w:rsid w:val="00C119A6"/>
    <w:rsid w:val="00C11EA1"/>
    <w:rsid w:val="00C151B9"/>
    <w:rsid w:val="00C418BE"/>
    <w:rsid w:val="00C45986"/>
    <w:rsid w:val="00C47460"/>
    <w:rsid w:val="00C476B9"/>
    <w:rsid w:val="00C60091"/>
    <w:rsid w:val="00C62C93"/>
    <w:rsid w:val="00C81DE3"/>
    <w:rsid w:val="00C85F89"/>
    <w:rsid w:val="00C94272"/>
    <w:rsid w:val="00C94DEA"/>
    <w:rsid w:val="00C959CB"/>
    <w:rsid w:val="00CA523F"/>
    <w:rsid w:val="00CA6190"/>
    <w:rsid w:val="00CA72A2"/>
    <w:rsid w:val="00CB1194"/>
    <w:rsid w:val="00CB3C17"/>
    <w:rsid w:val="00CB5C53"/>
    <w:rsid w:val="00CC685E"/>
    <w:rsid w:val="00CD00DC"/>
    <w:rsid w:val="00CD3232"/>
    <w:rsid w:val="00CD338A"/>
    <w:rsid w:val="00CD570B"/>
    <w:rsid w:val="00CE0AAF"/>
    <w:rsid w:val="00CE2431"/>
    <w:rsid w:val="00CF1AEC"/>
    <w:rsid w:val="00CF71ED"/>
    <w:rsid w:val="00D00A31"/>
    <w:rsid w:val="00D1232B"/>
    <w:rsid w:val="00D1591C"/>
    <w:rsid w:val="00D22275"/>
    <w:rsid w:val="00D302EE"/>
    <w:rsid w:val="00D32C56"/>
    <w:rsid w:val="00D33FFA"/>
    <w:rsid w:val="00D41310"/>
    <w:rsid w:val="00D41AE9"/>
    <w:rsid w:val="00D603B5"/>
    <w:rsid w:val="00D731B1"/>
    <w:rsid w:val="00D768DF"/>
    <w:rsid w:val="00D82559"/>
    <w:rsid w:val="00D840EE"/>
    <w:rsid w:val="00D8774D"/>
    <w:rsid w:val="00D91290"/>
    <w:rsid w:val="00DA1D28"/>
    <w:rsid w:val="00DB50AA"/>
    <w:rsid w:val="00DC6A60"/>
    <w:rsid w:val="00DC6C2B"/>
    <w:rsid w:val="00DD0F1E"/>
    <w:rsid w:val="00DD1459"/>
    <w:rsid w:val="00DD4767"/>
    <w:rsid w:val="00DE1271"/>
    <w:rsid w:val="00DE169B"/>
    <w:rsid w:val="00E00858"/>
    <w:rsid w:val="00E03B0B"/>
    <w:rsid w:val="00E04675"/>
    <w:rsid w:val="00E060DE"/>
    <w:rsid w:val="00E06D5B"/>
    <w:rsid w:val="00E0715F"/>
    <w:rsid w:val="00E108EE"/>
    <w:rsid w:val="00E21330"/>
    <w:rsid w:val="00E21589"/>
    <w:rsid w:val="00E26974"/>
    <w:rsid w:val="00E33477"/>
    <w:rsid w:val="00E43A2C"/>
    <w:rsid w:val="00E43AF2"/>
    <w:rsid w:val="00E456A9"/>
    <w:rsid w:val="00E45D53"/>
    <w:rsid w:val="00E46036"/>
    <w:rsid w:val="00E54FBD"/>
    <w:rsid w:val="00E54FE6"/>
    <w:rsid w:val="00E55150"/>
    <w:rsid w:val="00E60E1E"/>
    <w:rsid w:val="00E61909"/>
    <w:rsid w:val="00E61A71"/>
    <w:rsid w:val="00E63448"/>
    <w:rsid w:val="00E70947"/>
    <w:rsid w:val="00E713EE"/>
    <w:rsid w:val="00E80AD5"/>
    <w:rsid w:val="00E904E8"/>
    <w:rsid w:val="00EB390B"/>
    <w:rsid w:val="00EB5FCA"/>
    <w:rsid w:val="00ED441D"/>
    <w:rsid w:val="00ED4960"/>
    <w:rsid w:val="00ED5FE6"/>
    <w:rsid w:val="00ED75AC"/>
    <w:rsid w:val="00EE5B2E"/>
    <w:rsid w:val="00EF01AF"/>
    <w:rsid w:val="00EF1C29"/>
    <w:rsid w:val="00EF38E7"/>
    <w:rsid w:val="00EF6554"/>
    <w:rsid w:val="00F011E0"/>
    <w:rsid w:val="00F06825"/>
    <w:rsid w:val="00F07E1E"/>
    <w:rsid w:val="00F14E8A"/>
    <w:rsid w:val="00F153DE"/>
    <w:rsid w:val="00F206BC"/>
    <w:rsid w:val="00F21EB5"/>
    <w:rsid w:val="00F258C0"/>
    <w:rsid w:val="00F364B5"/>
    <w:rsid w:val="00F46E0F"/>
    <w:rsid w:val="00F50D39"/>
    <w:rsid w:val="00F5176B"/>
    <w:rsid w:val="00F55F20"/>
    <w:rsid w:val="00F67E22"/>
    <w:rsid w:val="00F81021"/>
    <w:rsid w:val="00F81AC2"/>
    <w:rsid w:val="00F9477E"/>
    <w:rsid w:val="00F948C3"/>
    <w:rsid w:val="00FA6DA6"/>
    <w:rsid w:val="00FB0C24"/>
    <w:rsid w:val="00FC0B63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ouncil.oxford.gov.uk/mgListPlans.aspx?RPId=345&amp;R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citizen.oxford.gov.uk/citizenportal/form.aspx?form=Scrutiny_Committee_Sugges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3168-1E63-4835-AE65-98383B26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9</cp:revision>
  <cp:lastPrinted>2016-05-17T14:54:00Z</cp:lastPrinted>
  <dcterms:created xsi:type="dcterms:W3CDTF">2016-05-25T15:26:00Z</dcterms:created>
  <dcterms:modified xsi:type="dcterms:W3CDTF">2016-05-27T10:25:00Z</dcterms:modified>
</cp:coreProperties>
</file>